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D5F" w:rsidRDefault="00796D5F" w:rsidP="00796D5F">
      <w:pPr>
        <w:spacing w:after="0"/>
      </w:pPr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4AFADA1C" wp14:editId="148E4043">
            <wp:simplePos x="0" y="0"/>
            <wp:positionH relativeFrom="column">
              <wp:posOffset>3484880</wp:posOffset>
            </wp:positionH>
            <wp:positionV relativeFrom="paragraph">
              <wp:posOffset>-133838</wp:posOffset>
            </wp:positionV>
            <wp:extent cx="1546860" cy="1010285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ná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6860" cy="1010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4A570BCD" wp14:editId="086CA4CC">
            <wp:simplePos x="0" y="0"/>
            <wp:positionH relativeFrom="column">
              <wp:posOffset>106680</wp:posOffset>
            </wp:positionH>
            <wp:positionV relativeFrom="paragraph">
              <wp:posOffset>-77470</wp:posOffset>
            </wp:positionV>
            <wp:extent cx="2628900" cy="1386205"/>
            <wp:effectExtent l="0" t="0" r="0" b="4445"/>
            <wp:wrapNone/>
            <wp:docPr id="4" name="Obrázek 4" descr="sms cr-dopis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ms cr-dopisak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97" t="2893" r="63536" b="84828"/>
                    <a:stretch/>
                  </pic:blipFill>
                  <pic:spPr bwMode="auto">
                    <a:xfrm>
                      <a:off x="0" y="0"/>
                      <a:ext cx="2628900" cy="1386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6D5F" w:rsidRDefault="00796D5F" w:rsidP="00796D5F">
      <w:pPr>
        <w:spacing w:after="0"/>
      </w:pPr>
    </w:p>
    <w:p w:rsidR="00796D5F" w:rsidRDefault="00796D5F" w:rsidP="00796D5F">
      <w:pPr>
        <w:spacing w:after="0"/>
      </w:pPr>
    </w:p>
    <w:p w:rsidR="00796D5F" w:rsidRDefault="00796D5F" w:rsidP="00796D5F">
      <w:pPr>
        <w:spacing w:after="0"/>
      </w:pPr>
    </w:p>
    <w:p w:rsidR="00796D5F" w:rsidRDefault="00796D5F" w:rsidP="00796D5F">
      <w:pPr>
        <w:spacing w:after="0"/>
      </w:pPr>
    </w:p>
    <w:p w:rsidR="00796D5F" w:rsidRDefault="00796D5F" w:rsidP="00796D5F">
      <w:pPr>
        <w:spacing w:after="0"/>
      </w:pPr>
    </w:p>
    <w:p w:rsidR="00796D5F" w:rsidRDefault="00796D5F" w:rsidP="00796D5F">
      <w:pPr>
        <w:spacing w:after="0"/>
      </w:pPr>
    </w:p>
    <w:p w:rsidR="00796D5F" w:rsidRDefault="00796D5F" w:rsidP="00796D5F">
      <w:pPr>
        <w:spacing w:after="0"/>
      </w:pPr>
    </w:p>
    <w:p w:rsidR="00796D5F" w:rsidRDefault="00796D5F" w:rsidP="00796D5F">
      <w:pPr>
        <w:spacing w:after="0"/>
        <w:jc w:val="center"/>
        <w:rPr>
          <w:b/>
          <w:sz w:val="44"/>
        </w:rPr>
      </w:pPr>
      <w:r w:rsidRPr="00796D5F">
        <w:rPr>
          <w:b/>
          <w:sz w:val="44"/>
        </w:rPr>
        <w:t xml:space="preserve">OSA porušuje autorský zákon. </w:t>
      </w:r>
    </w:p>
    <w:p w:rsidR="00796D5F" w:rsidRPr="00796D5F" w:rsidRDefault="00796D5F" w:rsidP="00796D5F">
      <w:pPr>
        <w:spacing w:after="0"/>
        <w:jc w:val="center"/>
        <w:rPr>
          <w:b/>
          <w:sz w:val="44"/>
        </w:rPr>
      </w:pPr>
      <w:r w:rsidRPr="00796D5F">
        <w:rPr>
          <w:b/>
          <w:sz w:val="44"/>
        </w:rPr>
        <w:t>Odmítá vracet část poplatků zpět</w:t>
      </w:r>
      <w:r>
        <w:rPr>
          <w:b/>
          <w:sz w:val="44"/>
        </w:rPr>
        <w:t xml:space="preserve">. </w:t>
      </w:r>
    </w:p>
    <w:p w:rsidR="00796D5F" w:rsidRDefault="00796D5F" w:rsidP="00796D5F">
      <w:pPr>
        <w:spacing w:after="0"/>
      </w:pPr>
    </w:p>
    <w:p w:rsidR="00796D5F" w:rsidRDefault="00796D5F" w:rsidP="00796D5F">
      <w:pPr>
        <w:spacing w:after="0"/>
        <w:jc w:val="center"/>
      </w:pPr>
      <w:r>
        <w:t>TISKOVÁ ZPRÁVA</w:t>
      </w:r>
    </w:p>
    <w:p w:rsidR="00795C73" w:rsidRDefault="00796D5F" w:rsidP="00796D5F">
      <w:pPr>
        <w:spacing w:after="0"/>
        <w:jc w:val="center"/>
      </w:pPr>
      <w:r>
        <w:t xml:space="preserve">Praha, </w:t>
      </w:r>
      <w:r w:rsidR="00FE565B">
        <w:t>31. května 2017</w:t>
      </w:r>
    </w:p>
    <w:p w:rsidR="00FE565B" w:rsidRDefault="00FE565B" w:rsidP="00796D5F">
      <w:pPr>
        <w:spacing w:after="0"/>
        <w:jc w:val="both"/>
      </w:pPr>
    </w:p>
    <w:p w:rsidR="00A53D7A" w:rsidRDefault="00A53D7A" w:rsidP="00796D5F">
      <w:pPr>
        <w:spacing w:after="0"/>
        <w:jc w:val="both"/>
        <w:rPr>
          <w:b/>
        </w:rPr>
      </w:pPr>
      <w:r>
        <w:rPr>
          <w:b/>
        </w:rPr>
        <w:t>K</w:t>
      </w:r>
      <w:r w:rsidR="00FE565B" w:rsidRPr="00FE565B">
        <w:rPr>
          <w:b/>
        </w:rPr>
        <w:t>olektivní správce OSA, zastupující zájmy hudebních autorů, po</w:t>
      </w:r>
      <w:r w:rsidR="005E69A5">
        <w:rPr>
          <w:b/>
        </w:rPr>
        <w:t>rušuje novelu autorského zákona</w:t>
      </w:r>
      <w:r>
        <w:rPr>
          <w:b/>
        </w:rPr>
        <w:t>,</w:t>
      </w:r>
      <w:r w:rsidR="00FE565B" w:rsidRPr="00FE565B">
        <w:rPr>
          <w:b/>
        </w:rPr>
        <w:t xml:space="preserve"> </w:t>
      </w:r>
      <w:r>
        <w:rPr>
          <w:b/>
        </w:rPr>
        <w:t>která byla přijata</w:t>
      </w:r>
      <w:r w:rsidRPr="00A53D7A">
        <w:rPr>
          <w:b/>
        </w:rPr>
        <w:t xml:space="preserve"> </w:t>
      </w:r>
      <w:r>
        <w:rPr>
          <w:b/>
        </w:rPr>
        <w:t>teprve letos.</w:t>
      </w:r>
      <w:r w:rsidR="00FE565B" w:rsidRPr="00FE565B">
        <w:rPr>
          <w:b/>
        </w:rPr>
        <w:t xml:space="preserve"> </w:t>
      </w:r>
      <w:r>
        <w:rPr>
          <w:b/>
        </w:rPr>
        <w:t xml:space="preserve">Upozorňuje na to </w:t>
      </w:r>
      <w:r w:rsidRPr="00FE565B">
        <w:rPr>
          <w:b/>
        </w:rPr>
        <w:t xml:space="preserve">Sdružení místních samospráv ČR, jehož členy je více než 1200 obcí a měst, </w:t>
      </w:r>
      <w:r>
        <w:rPr>
          <w:b/>
        </w:rPr>
        <w:t>spolu se senátory Ivo</w:t>
      </w:r>
      <w:r w:rsidRPr="00FE565B">
        <w:rPr>
          <w:b/>
        </w:rPr>
        <w:t xml:space="preserve"> Valentou a Janem Horníkem</w:t>
      </w:r>
      <w:r>
        <w:rPr>
          <w:b/>
        </w:rPr>
        <w:t>.</w:t>
      </w:r>
      <w:r w:rsidRPr="00FE565B">
        <w:rPr>
          <w:b/>
        </w:rPr>
        <w:t xml:space="preserve"> </w:t>
      </w:r>
    </w:p>
    <w:p w:rsidR="00796D5F" w:rsidRDefault="00796D5F" w:rsidP="00796D5F">
      <w:pPr>
        <w:spacing w:after="0"/>
        <w:jc w:val="both"/>
      </w:pPr>
    </w:p>
    <w:p w:rsidR="00A53D7A" w:rsidRDefault="00FE565B" w:rsidP="00796D5F">
      <w:pPr>
        <w:spacing w:after="0"/>
        <w:jc w:val="both"/>
      </w:pPr>
      <w:bookmarkStart w:id="0" w:name="_GoBack"/>
      <w:r>
        <w:t xml:space="preserve">OSA pro rok 2017 </w:t>
      </w:r>
      <w:r w:rsidR="00A53D7A">
        <w:t xml:space="preserve">skandálně </w:t>
      </w:r>
      <w:r>
        <w:t>zv</w:t>
      </w:r>
      <w:r w:rsidR="00503432">
        <w:t>ýšila některé poplatky</w:t>
      </w:r>
      <w:r w:rsidR="00A53D7A">
        <w:t>, a to</w:t>
      </w:r>
      <w:r w:rsidR="00503432">
        <w:t xml:space="preserve"> až o 50%</w:t>
      </w:r>
      <w:r w:rsidR="00A53D7A">
        <w:t xml:space="preserve">. Proti </w:t>
      </w:r>
      <w:r w:rsidR="00503432">
        <w:t xml:space="preserve">takovému skokovému růstu protestovali především starostové </w:t>
      </w:r>
      <w:r w:rsidR="00A53D7A">
        <w:t>z</w:t>
      </w:r>
      <w:r w:rsidR="00503432">
        <w:t>e Sdružení místních samospráv ČR. N</w:t>
      </w:r>
      <w:r>
        <w:t>ovela</w:t>
      </w:r>
      <w:r w:rsidR="00A53D7A">
        <w:t>,</w:t>
      </w:r>
      <w:r>
        <w:t xml:space="preserve"> přijatá parlamentem v březnu </w:t>
      </w:r>
      <w:r w:rsidR="00503432">
        <w:t>tohoto roku</w:t>
      </w:r>
      <w:r w:rsidR="00A53D7A">
        <w:t>,</w:t>
      </w:r>
      <w:r w:rsidR="00503432">
        <w:t xml:space="preserve"> </w:t>
      </w:r>
      <w:r w:rsidR="00A53D7A">
        <w:t xml:space="preserve">navíc takovéto řádění kolektivních správců ani neumožňuje. Maximální možné navýšení pro letošní rok je ode dne 20. 4. 2017 stanoveno na </w:t>
      </w:r>
      <w:r w:rsidR="00503432" w:rsidRPr="00797684">
        <w:rPr>
          <w:b/>
        </w:rPr>
        <w:t>4,2%</w:t>
      </w:r>
      <w:r w:rsidR="00503432">
        <w:t>. V</w:t>
      </w:r>
      <w:r>
        <w:t>yšší nárůst by musel schválit Úřad pro ochranu hospodářské soutěže</w:t>
      </w:r>
      <w:r w:rsidR="005170B9">
        <w:t>, což</w:t>
      </w:r>
      <w:r w:rsidR="00A53D7A">
        <w:t xml:space="preserve"> se nestalo</w:t>
      </w:r>
      <w:r>
        <w:t xml:space="preserve">. </w:t>
      </w:r>
      <w:r w:rsidR="00A53D7A">
        <w:t>Přesto však hamižná OSA odmítá vracet přeplatky, které jí dle legislativy nenáleží</w:t>
      </w:r>
      <w:r w:rsidR="005170B9">
        <w:t>!</w:t>
      </w:r>
    </w:p>
    <w:p w:rsidR="00796D5F" w:rsidRDefault="00796D5F" w:rsidP="00796D5F">
      <w:pPr>
        <w:spacing w:after="0"/>
        <w:jc w:val="both"/>
      </w:pPr>
    </w:p>
    <w:p w:rsidR="00FE565B" w:rsidRDefault="00FE565B" w:rsidP="00796D5F">
      <w:pPr>
        <w:spacing w:after="0"/>
        <w:jc w:val="both"/>
      </w:pPr>
      <w:r>
        <w:t xml:space="preserve">Řada obcí </w:t>
      </w:r>
      <w:r w:rsidR="008B6C66">
        <w:t>uhradila na účet OSA</w:t>
      </w:r>
      <w:r>
        <w:t xml:space="preserve"> razantně zvýšené poplatky </w:t>
      </w:r>
      <w:r w:rsidR="008B6C66">
        <w:t xml:space="preserve">již </w:t>
      </w:r>
      <w:r>
        <w:t xml:space="preserve">na počátku roku, kdy zákon </w:t>
      </w:r>
      <w:r w:rsidR="00797684">
        <w:t xml:space="preserve">ještě </w:t>
      </w:r>
      <w:r>
        <w:t xml:space="preserve">žádné stropy pro zvyšování autorských odměn neobsahoval. Situace se však změnila </w:t>
      </w:r>
      <w:r w:rsidR="005170B9">
        <w:t xml:space="preserve">právě </w:t>
      </w:r>
      <w:r w:rsidR="00503432">
        <w:t>s novelou autorského zákona</w:t>
      </w:r>
      <w:r w:rsidR="008B6C66">
        <w:t>. O</w:t>
      </w:r>
      <w:r w:rsidR="00503432">
        <w:t>bce proto</w:t>
      </w:r>
      <w:r w:rsidR="008B6C66">
        <w:t xml:space="preserve"> logicky</w:t>
      </w:r>
      <w:r w:rsidR="00503432">
        <w:t xml:space="preserve"> požádaly O</w:t>
      </w:r>
      <w:r w:rsidR="00797684">
        <w:t>SA o vrácení přeplatku</w:t>
      </w:r>
      <w:r w:rsidR="008B6C66">
        <w:t xml:space="preserve">. To </w:t>
      </w:r>
      <w:r w:rsidR="00797684">
        <w:t>ovšem</w:t>
      </w:r>
      <w:r w:rsidR="00503432">
        <w:t xml:space="preserve"> OSA odmítla.</w:t>
      </w:r>
    </w:p>
    <w:p w:rsidR="00796D5F" w:rsidRDefault="00796D5F" w:rsidP="00796D5F">
      <w:pPr>
        <w:spacing w:after="0"/>
        <w:jc w:val="both"/>
      </w:pPr>
    </w:p>
    <w:p w:rsidR="00FE565B" w:rsidRDefault="00FE565B" w:rsidP="00796D5F">
      <w:pPr>
        <w:spacing w:after="0"/>
        <w:jc w:val="both"/>
      </w:pPr>
      <w:r>
        <w:t>„</w:t>
      </w:r>
      <w:r w:rsidRPr="005E69A5">
        <w:rPr>
          <w:i/>
        </w:rPr>
        <w:t xml:space="preserve">Byli jsme šokováni, že OSA odmítá tyto přeplatky vracet a porušuje tak přímo autorský zákon. Obce například </w:t>
      </w:r>
      <w:r w:rsidR="00503432">
        <w:rPr>
          <w:i/>
        </w:rPr>
        <w:t xml:space="preserve">uhradily </w:t>
      </w:r>
      <w:r w:rsidRPr="005E69A5">
        <w:rPr>
          <w:i/>
        </w:rPr>
        <w:t xml:space="preserve">celoroční poplatek za provozování obecního rozhlasu, nic jiného </w:t>
      </w:r>
      <w:r w:rsidR="00D31560" w:rsidRPr="005E69A5">
        <w:rPr>
          <w:i/>
        </w:rPr>
        <w:t xml:space="preserve">jim ani </w:t>
      </w:r>
      <w:r w:rsidRPr="005E69A5">
        <w:rPr>
          <w:i/>
        </w:rPr>
        <w:t xml:space="preserve">nezbývalo. Ovšem když nyní požádaly o vrácení přeplatku </w:t>
      </w:r>
      <w:r w:rsidR="00D31560" w:rsidRPr="005E69A5">
        <w:rPr>
          <w:i/>
        </w:rPr>
        <w:t xml:space="preserve">nad rámec povolených </w:t>
      </w:r>
      <w:r w:rsidR="00054169" w:rsidRPr="005E69A5">
        <w:rPr>
          <w:i/>
        </w:rPr>
        <w:t>4,2%, OSA odmít</w:t>
      </w:r>
      <w:r w:rsidR="00D31560" w:rsidRPr="005E69A5">
        <w:rPr>
          <w:i/>
        </w:rPr>
        <w:t>la</w:t>
      </w:r>
      <w:r w:rsidR="00054169" w:rsidRPr="005E69A5">
        <w:rPr>
          <w:i/>
        </w:rPr>
        <w:t xml:space="preserve"> </w:t>
      </w:r>
      <w:r w:rsidR="00D31560" w:rsidRPr="005E69A5">
        <w:rPr>
          <w:i/>
        </w:rPr>
        <w:t xml:space="preserve">tuto </w:t>
      </w:r>
      <w:r w:rsidR="00054169" w:rsidRPr="005E69A5">
        <w:rPr>
          <w:i/>
        </w:rPr>
        <w:t xml:space="preserve">alikvotní část </w:t>
      </w:r>
      <w:r w:rsidR="00D31560" w:rsidRPr="005E69A5">
        <w:rPr>
          <w:i/>
        </w:rPr>
        <w:t>vracet</w:t>
      </w:r>
      <w:r w:rsidR="00D31560">
        <w:t xml:space="preserve">,“ uvedl místopředseda SMS ČR </w:t>
      </w:r>
      <w:r w:rsidR="00D31560" w:rsidRPr="00503432">
        <w:rPr>
          <w:b/>
        </w:rPr>
        <w:t>Jan Sedláček</w:t>
      </w:r>
      <w:r w:rsidR="00D31560">
        <w:t>, starosta obce Křižánky</w:t>
      </w:r>
      <w:r w:rsidR="00797684">
        <w:t xml:space="preserve">. Ten </w:t>
      </w:r>
      <w:r w:rsidR="00D31560">
        <w:t>vyzdvihl</w:t>
      </w:r>
      <w:r w:rsidR="00797684">
        <w:t xml:space="preserve"> postup jiného </w:t>
      </w:r>
      <w:r w:rsidR="00D31560">
        <w:t>významn</w:t>
      </w:r>
      <w:r w:rsidR="00797684">
        <w:t>ého</w:t>
      </w:r>
      <w:r w:rsidR="00D31560">
        <w:t xml:space="preserve"> kolektivní</w:t>
      </w:r>
      <w:r w:rsidR="00797684">
        <w:t>ho</w:t>
      </w:r>
      <w:r w:rsidR="00D31560">
        <w:t xml:space="preserve"> správce </w:t>
      </w:r>
      <w:proofErr w:type="spellStart"/>
      <w:r w:rsidR="00D31560">
        <w:t>Intergram</w:t>
      </w:r>
      <w:proofErr w:type="spellEnd"/>
      <w:r w:rsidR="00797684">
        <w:t>,</w:t>
      </w:r>
      <w:r w:rsidR="00D31560">
        <w:t xml:space="preserve"> </w:t>
      </w:r>
      <w:r w:rsidR="00797684">
        <w:t xml:space="preserve">který </w:t>
      </w:r>
      <w:r w:rsidR="00D31560">
        <w:t>toto zákonné ustanovení respekt</w:t>
      </w:r>
      <w:r w:rsidR="00797684">
        <w:t>uje</w:t>
      </w:r>
      <w:r w:rsidR="00D31560">
        <w:t>. „</w:t>
      </w:r>
      <w:r w:rsidR="00D31560" w:rsidRPr="005E69A5">
        <w:rPr>
          <w:i/>
        </w:rPr>
        <w:t xml:space="preserve">Není </w:t>
      </w:r>
      <w:r w:rsidR="00797684">
        <w:rPr>
          <w:i/>
        </w:rPr>
        <w:t>přijatelné, aby určití</w:t>
      </w:r>
      <w:r w:rsidR="00D31560" w:rsidRPr="005E69A5">
        <w:rPr>
          <w:i/>
        </w:rPr>
        <w:t xml:space="preserve"> </w:t>
      </w:r>
      <w:r w:rsidR="00797684">
        <w:rPr>
          <w:i/>
        </w:rPr>
        <w:t>kolektivní</w:t>
      </w:r>
      <w:r w:rsidR="00D31560" w:rsidRPr="005E69A5">
        <w:rPr>
          <w:i/>
        </w:rPr>
        <w:t xml:space="preserve"> spr</w:t>
      </w:r>
      <w:r w:rsidR="00797684">
        <w:rPr>
          <w:i/>
        </w:rPr>
        <w:t>ávci zákon respektovali</w:t>
      </w:r>
      <w:r w:rsidR="00D31560" w:rsidRPr="005E69A5">
        <w:rPr>
          <w:i/>
        </w:rPr>
        <w:t xml:space="preserve"> a jin</w:t>
      </w:r>
      <w:r w:rsidR="00797684">
        <w:rPr>
          <w:i/>
        </w:rPr>
        <w:t>í,</w:t>
      </w:r>
      <w:r w:rsidR="00D31560" w:rsidRPr="005E69A5">
        <w:rPr>
          <w:i/>
        </w:rPr>
        <w:t xml:space="preserve"> </w:t>
      </w:r>
      <w:r w:rsidR="005E69A5" w:rsidRPr="005E69A5">
        <w:rPr>
          <w:i/>
        </w:rPr>
        <w:t>bez sankcí</w:t>
      </w:r>
      <w:r w:rsidR="00797684">
        <w:rPr>
          <w:i/>
        </w:rPr>
        <w:t>, zákon</w:t>
      </w:r>
      <w:r w:rsidR="005E69A5" w:rsidRPr="005E69A5">
        <w:rPr>
          <w:i/>
        </w:rPr>
        <w:t xml:space="preserve"> </w:t>
      </w:r>
      <w:r w:rsidR="00D31560" w:rsidRPr="005E69A5">
        <w:rPr>
          <w:i/>
        </w:rPr>
        <w:t>porušoval</w:t>
      </w:r>
      <w:r w:rsidR="00797684">
        <w:rPr>
          <w:i/>
        </w:rPr>
        <w:t>i</w:t>
      </w:r>
      <w:r w:rsidR="00D31560" w:rsidRPr="005E69A5">
        <w:rPr>
          <w:i/>
        </w:rPr>
        <w:t>. Tak</w:t>
      </w:r>
      <w:r w:rsidR="00F5467B" w:rsidRPr="005E69A5">
        <w:rPr>
          <w:i/>
        </w:rPr>
        <w:t>to</w:t>
      </w:r>
      <w:r w:rsidR="00D31560" w:rsidRPr="005E69A5">
        <w:rPr>
          <w:i/>
        </w:rPr>
        <w:t xml:space="preserve"> </w:t>
      </w:r>
      <w:r w:rsidR="00F5467B" w:rsidRPr="005E69A5">
        <w:rPr>
          <w:i/>
        </w:rPr>
        <w:t>rozdílný přístup porušuje</w:t>
      </w:r>
      <w:r w:rsidR="00D31560" w:rsidRPr="005E69A5">
        <w:rPr>
          <w:i/>
        </w:rPr>
        <w:t xml:space="preserve"> pravidla právního státu</w:t>
      </w:r>
      <w:r w:rsidR="00797684">
        <w:rPr>
          <w:i/>
        </w:rPr>
        <w:t xml:space="preserve"> - </w:t>
      </w:r>
      <w:r w:rsidR="00F5467B" w:rsidRPr="005E69A5">
        <w:rPr>
          <w:i/>
        </w:rPr>
        <w:t>rovnost před zákonem</w:t>
      </w:r>
      <w:r w:rsidR="00D31560" w:rsidRPr="005E69A5">
        <w:rPr>
          <w:i/>
        </w:rPr>
        <w:t>.</w:t>
      </w:r>
      <w:r w:rsidR="00D31560">
        <w:t>“</w:t>
      </w:r>
    </w:p>
    <w:p w:rsidR="00796D5F" w:rsidRDefault="00796D5F" w:rsidP="00796D5F">
      <w:pPr>
        <w:spacing w:after="0"/>
        <w:jc w:val="both"/>
        <w:rPr>
          <w:b/>
        </w:rPr>
      </w:pPr>
    </w:p>
    <w:p w:rsidR="00796D5F" w:rsidRDefault="00D31560" w:rsidP="00796D5F">
      <w:pPr>
        <w:spacing w:after="0"/>
        <w:jc w:val="both"/>
      </w:pPr>
      <w:r w:rsidRPr="00503432">
        <w:rPr>
          <w:b/>
        </w:rPr>
        <w:t>Senátor Ivo Valenta</w:t>
      </w:r>
      <w:r w:rsidR="00503432">
        <w:t xml:space="preserve">, který se </w:t>
      </w:r>
      <w:r w:rsidR="008B6C66">
        <w:t xml:space="preserve">problematice kolektivních správců věnuje dlouhodobě a </w:t>
      </w:r>
      <w:r w:rsidR="00503432">
        <w:t xml:space="preserve">zasadil </w:t>
      </w:r>
      <w:r w:rsidR="008B6C66">
        <w:t xml:space="preserve">se například </w:t>
      </w:r>
      <w:r w:rsidR="00503432">
        <w:t>o vynětí folklórní hudby z poplatkové povinnosti,</w:t>
      </w:r>
      <w:r>
        <w:t xml:space="preserve"> zdůrazňuje, že schválený zákon </w:t>
      </w:r>
      <w:r w:rsidR="008B6C66">
        <w:t xml:space="preserve">vůbec </w:t>
      </w:r>
      <w:r>
        <w:t xml:space="preserve">poprvé omezuje bezbřehý </w:t>
      </w:r>
      <w:r w:rsidR="00797684">
        <w:t>ná</w:t>
      </w:r>
      <w:r>
        <w:t>růst autorských poplatků</w:t>
      </w:r>
      <w:r w:rsidR="008B6C66">
        <w:t xml:space="preserve"> a je nutné ho respektovat</w:t>
      </w:r>
      <w:r w:rsidR="00503432">
        <w:t>. „</w:t>
      </w:r>
      <w:r w:rsidR="00503432" w:rsidRPr="00797684">
        <w:rPr>
          <w:i/>
        </w:rPr>
        <w:t>J</w:t>
      </w:r>
      <w:r w:rsidR="00F5467B" w:rsidRPr="00797684">
        <w:rPr>
          <w:i/>
        </w:rPr>
        <w:t xml:space="preserve">e </w:t>
      </w:r>
      <w:r w:rsidR="00797684" w:rsidRPr="00797684">
        <w:rPr>
          <w:i/>
        </w:rPr>
        <w:t xml:space="preserve">zcela </w:t>
      </w:r>
      <w:r w:rsidR="00F5467B" w:rsidRPr="00797684">
        <w:rPr>
          <w:i/>
        </w:rPr>
        <w:t>klíčové, aby zákon</w:t>
      </w:r>
      <w:r w:rsidR="005E69A5" w:rsidRPr="00797684">
        <w:rPr>
          <w:i/>
        </w:rPr>
        <w:t xml:space="preserve">né </w:t>
      </w:r>
      <w:r w:rsidR="00503432" w:rsidRPr="00797684">
        <w:rPr>
          <w:i/>
        </w:rPr>
        <w:t xml:space="preserve">limity </w:t>
      </w:r>
      <w:r w:rsidR="005E69A5" w:rsidRPr="00797684">
        <w:rPr>
          <w:i/>
        </w:rPr>
        <w:t>pro zvyšování</w:t>
      </w:r>
      <w:r w:rsidR="00F5467B" w:rsidRPr="00797684">
        <w:rPr>
          <w:i/>
        </w:rPr>
        <w:t xml:space="preserve"> </w:t>
      </w:r>
      <w:r w:rsidR="005E69A5" w:rsidRPr="00797684">
        <w:rPr>
          <w:i/>
        </w:rPr>
        <w:t>sazeb byl</w:t>
      </w:r>
      <w:r w:rsidR="008B6C66">
        <w:rPr>
          <w:i/>
        </w:rPr>
        <w:t>y</w:t>
      </w:r>
      <w:r w:rsidR="005E69A5" w:rsidRPr="00797684">
        <w:rPr>
          <w:i/>
        </w:rPr>
        <w:t xml:space="preserve"> dodržován</w:t>
      </w:r>
      <w:r w:rsidR="008B6C66">
        <w:rPr>
          <w:i/>
        </w:rPr>
        <w:t>y</w:t>
      </w:r>
      <w:r w:rsidR="005E69A5" w:rsidRPr="00797684">
        <w:rPr>
          <w:i/>
        </w:rPr>
        <w:t xml:space="preserve">. Právo na vrácení přeplatku mají </w:t>
      </w:r>
      <w:r w:rsidR="008B6C66">
        <w:rPr>
          <w:i/>
        </w:rPr>
        <w:t>samozřejmě všichni uživatelé - tedy</w:t>
      </w:r>
      <w:r w:rsidR="005E69A5" w:rsidRPr="00797684">
        <w:rPr>
          <w:i/>
        </w:rPr>
        <w:t xml:space="preserve"> nejen obce a města, ale rovněž všichni provozovatelé hospod, restaurací, hotelů, lázní</w:t>
      </w:r>
      <w:r w:rsidR="005E69A5">
        <w:t>.</w:t>
      </w:r>
      <w:r w:rsidR="00503432">
        <w:t xml:space="preserve">“ </w:t>
      </w:r>
    </w:p>
    <w:p w:rsidR="00796D5F" w:rsidRDefault="00796D5F" w:rsidP="00796D5F">
      <w:pPr>
        <w:spacing w:after="0"/>
        <w:jc w:val="both"/>
      </w:pPr>
    </w:p>
    <w:p w:rsidR="00D31560" w:rsidRDefault="00503432" w:rsidP="00796D5F">
      <w:pPr>
        <w:spacing w:after="0"/>
        <w:jc w:val="both"/>
      </w:pPr>
      <w:r>
        <w:t xml:space="preserve">Problém podle </w:t>
      </w:r>
      <w:r w:rsidRPr="00797684">
        <w:rPr>
          <w:b/>
        </w:rPr>
        <w:t>senátora Valenty</w:t>
      </w:r>
      <w:r>
        <w:t xml:space="preserve"> však je, že tito soukromí uživatelé</w:t>
      </w:r>
      <w:r w:rsidR="005E69A5">
        <w:t xml:space="preserve"> vůbec netuší, že odměny</w:t>
      </w:r>
      <w:r w:rsidR="00797684">
        <w:t xml:space="preserve">, zaplacené </w:t>
      </w:r>
      <w:r w:rsidR="005E69A5">
        <w:t xml:space="preserve">OSA na letošní rok, mohou žádat částečně zpět. </w:t>
      </w:r>
      <w:r>
        <w:t>„</w:t>
      </w:r>
      <w:r w:rsidRPr="00797684">
        <w:rPr>
          <w:i/>
        </w:rPr>
        <w:t>C</w:t>
      </w:r>
      <w:r w:rsidR="005E69A5" w:rsidRPr="00797684">
        <w:rPr>
          <w:i/>
        </w:rPr>
        <w:t>hce</w:t>
      </w:r>
      <w:r w:rsidRPr="00797684">
        <w:rPr>
          <w:i/>
        </w:rPr>
        <w:t xml:space="preserve">me zvýšit jejich </w:t>
      </w:r>
      <w:r w:rsidR="008B6C66">
        <w:rPr>
          <w:i/>
        </w:rPr>
        <w:t>informovanost</w:t>
      </w:r>
      <w:r w:rsidRPr="00797684">
        <w:rPr>
          <w:i/>
        </w:rPr>
        <w:t>, proto jsme připravili jednoduch</w:t>
      </w:r>
      <w:r w:rsidR="008B6C66">
        <w:rPr>
          <w:i/>
        </w:rPr>
        <w:t>ý manuál</w:t>
      </w:r>
      <w:r w:rsidRPr="00797684">
        <w:rPr>
          <w:i/>
        </w:rPr>
        <w:t xml:space="preserve">, </w:t>
      </w:r>
      <w:r w:rsidR="008B6C66">
        <w:rPr>
          <w:i/>
        </w:rPr>
        <w:t>obsahující údaje o konkrétních změnách</w:t>
      </w:r>
      <w:r w:rsidRPr="00797684">
        <w:rPr>
          <w:i/>
        </w:rPr>
        <w:t xml:space="preserve"> autorsk</w:t>
      </w:r>
      <w:r w:rsidR="008B6C66">
        <w:rPr>
          <w:i/>
        </w:rPr>
        <w:t xml:space="preserve">ého zákona a </w:t>
      </w:r>
      <w:r w:rsidR="008B6C66">
        <w:rPr>
          <w:i/>
        </w:rPr>
        <w:lastRenderedPageBreak/>
        <w:t>současně</w:t>
      </w:r>
      <w:r w:rsidRPr="00797684">
        <w:rPr>
          <w:i/>
        </w:rPr>
        <w:t xml:space="preserve"> </w:t>
      </w:r>
      <w:r w:rsidR="00797684" w:rsidRPr="00797684">
        <w:rPr>
          <w:i/>
        </w:rPr>
        <w:t>vzory, jak požádat o vrácení přeplatků. Vše je zveřejněno na mých internetových stránkách</w:t>
      </w:r>
      <w:r w:rsidR="00797684">
        <w:t xml:space="preserve">,“ doplnil </w:t>
      </w:r>
      <w:r w:rsidR="00797684" w:rsidRPr="00797684">
        <w:rPr>
          <w:b/>
        </w:rPr>
        <w:t>senátor Valenta</w:t>
      </w:r>
      <w:r w:rsidR="00797684">
        <w:t>.</w:t>
      </w:r>
      <w:r w:rsidR="008B6C66">
        <w:t xml:space="preserve"> Ten současně chystá další zpřísnění podmínek pro kolektivní správce tak, aby byli nuceni respektovat pravidla a zákony, a aby již nadále nemohli netransparentně nakládat s finančními prostředky, případně navyšovat poplatky, jak se jim zlíbí. Jejich činnost musí být podle Valenty jasně vymezena zákonem.</w:t>
      </w:r>
    </w:p>
    <w:p w:rsidR="00796D5F" w:rsidRDefault="00796D5F" w:rsidP="00796D5F">
      <w:pPr>
        <w:spacing w:after="0"/>
        <w:jc w:val="both"/>
        <w:rPr>
          <w:b/>
        </w:rPr>
      </w:pPr>
    </w:p>
    <w:p w:rsidR="005E69A5" w:rsidRPr="00797684" w:rsidRDefault="005E69A5" w:rsidP="00796D5F">
      <w:pPr>
        <w:spacing w:after="0"/>
        <w:jc w:val="both"/>
      </w:pPr>
      <w:r w:rsidRPr="00503432">
        <w:rPr>
          <w:b/>
        </w:rPr>
        <w:t>Senátor Jan Horník</w:t>
      </w:r>
      <w:r>
        <w:t xml:space="preserve">, jenž </w:t>
      </w:r>
      <w:r w:rsidR="008B6C66">
        <w:t xml:space="preserve">taktéž </w:t>
      </w:r>
      <w:r>
        <w:t xml:space="preserve">dlouhodobě bojuje za </w:t>
      </w:r>
      <w:r w:rsidR="00503432">
        <w:t>přiměřenou výši autorských p</w:t>
      </w:r>
      <w:r w:rsidR="00797684">
        <w:t>oplatků, podotkl, že on sám provozuje ubytovací zařízení a pozoruje dlouhodobě závratný nárůst autorských poplatků. „</w:t>
      </w:r>
      <w:r w:rsidR="00797684" w:rsidRPr="00797684">
        <w:rPr>
          <w:i/>
        </w:rPr>
        <w:t xml:space="preserve">Sazba OSA </w:t>
      </w:r>
      <w:r w:rsidR="00797684">
        <w:rPr>
          <w:i/>
        </w:rPr>
        <w:t xml:space="preserve">ještě </w:t>
      </w:r>
      <w:r w:rsidR="00797684" w:rsidRPr="00797684">
        <w:rPr>
          <w:i/>
        </w:rPr>
        <w:t>v roce 200</w:t>
      </w:r>
      <w:r w:rsidR="00797684">
        <w:rPr>
          <w:i/>
        </w:rPr>
        <w:t>5</w:t>
      </w:r>
      <w:r w:rsidR="00797684" w:rsidRPr="00797684">
        <w:rPr>
          <w:i/>
        </w:rPr>
        <w:t xml:space="preserve"> za </w:t>
      </w:r>
      <w:r w:rsidR="00797684" w:rsidRPr="008B6C66">
        <w:rPr>
          <w:i/>
        </w:rPr>
        <w:t>TV přístroj</w:t>
      </w:r>
      <w:r w:rsidR="00797684" w:rsidRPr="00797684">
        <w:rPr>
          <w:i/>
        </w:rPr>
        <w:t xml:space="preserve"> činila </w:t>
      </w:r>
      <w:r w:rsidR="00797684" w:rsidRPr="00797684">
        <w:rPr>
          <w:b/>
          <w:i/>
        </w:rPr>
        <w:t>90 Kč</w:t>
      </w:r>
      <w:r w:rsidR="00797684" w:rsidRPr="00797684">
        <w:rPr>
          <w:i/>
        </w:rPr>
        <w:t xml:space="preserve"> za měsíc, za </w:t>
      </w:r>
      <w:r w:rsidR="00797684" w:rsidRPr="008B6C66">
        <w:rPr>
          <w:i/>
        </w:rPr>
        <w:t>rádio</w:t>
      </w:r>
      <w:r w:rsidR="00797684" w:rsidRPr="00797684">
        <w:rPr>
          <w:i/>
        </w:rPr>
        <w:t xml:space="preserve"> </w:t>
      </w:r>
      <w:r w:rsidR="00797684" w:rsidRPr="00797684">
        <w:rPr>
          <w:b/>
          <w:i/>
        </w:rPr>
        <w:t>50 Kč</w:t>
      </w:r>
      <w:r w:rsidR="00797684" w:rsidRPr="00797684">
        <w:rPr>
          <w:i/>
        </w:rPr>
        <w:t xml:space="preserve"> za rok. Letos sazby OSA jsou u TV přístroje téměř 450 Kč a za radiopřijímač 279 Kč. U reprodukované hudby je to nárůst za </w:t>
      </w:r>
      <w:r w:rsidR="00797684">
        <w:rPr>
          <w:i/>
        </w:rPr>
        <w:t>dvanáct</w:t>
      </w:r>
      <w:r w:rsidR="00797684" w:rsidRPr="00797684">
        <w:rPr>
          <w:i/>
        </w:rPr>
        <w:t xml:space="preserve"> let o 500%</w:t>
      </w:r>
      <w:r w:rsidR="00797684">
        <w:rPr>
          <w:i/>
        </w:rPr>
        <w:t>!</w:t>
      </w:r>
      <w:r w:rsidR="00797684" w:rsidRPr="00797684">
        <w:rPr>
          <w:i/>
        </w:rPr>
        <w:t xml:space="preserve"> </w:t>
      </w:r>
      <w:r w:rsidR="00797684">
        <w:rPr>
          <w:i/>
        </w:rPr>
        <w:t>Přitom inflace za totožné období činí jen 24%. To je hrubý nepoměr a je proto nutné bezpodmínečně trvat na zastavení růstů sazeb OSA, zvláště když jiní kolektivní správci zákon respektují</w:t>
      </w:r>
      <w:r w:rsidR="00797684">
        <w:t>,</w:t>
      </w:r>
      <w:r w:rsidR="00797684" w:rsidRPr="00797684">
        <w:t>“</w:t>
      </w:r>
      <w:r w:rsidR="00797684">
        <w:t xml:space="preserve"> uzavřel </w:t>
      </w:r>
      <w:r w:rsidR="00797684" w:rsidRPr="00797684">
        <w:rPr>
          <w:b/>
        </w:rPr>
        <w:t>senátor Horník</w:t>
      </w:r>
      <w:r w:rsidR="00797684">
        <w:t xml:space="preserve"> s tím, že i on sám o vrácení přeplatku požádal a čeká na stanovisko OSA. „</w:t>
      </w:r>
      <w:r w:rsidR="00797684" w:rsidRPr="00797684">
        <w:rPr>
          <w:i/>
        </w:rPr>
        <w:t xml:space="preserve">Všichni uživatelé by měli jednoduše dostat své peníze zpět, zákonodárci musí dohlédnout na dodržení zákona. Chci přislíbit, že budeme </w:t>
      </w:r>
      <w:r w:rsidR="008B6C66">
        <w:rPr>
          <w:i/>
        </w:rPr>
        <w:t xml:space="preserve">vše </w:t>
      </w:r>
      <w:r w:rsidR="00797684" w:rsidRPr="00797684">
        <w:rPr>
          <w:i/>
        </w:rPr>
        <w:t>bedlivě sledovat</w:t>
      </w:r>
      <w:r w:rsidR="00797684">
        <w:t xml:space="preserve">,“ sdělil </w:t>
      </w:r>
      <w:r w:rsidR="00797684" w:rsidRPr="00797684">
        <w:rPr>
          <w:b/>
        </w:rPr>
        <w:t>senátor Horník</w:t>
      </w:r>
      <w:r w:rsidR="00797684">
        <w:t>.</w:t>
      </w:r>
    </w:p>
    <w:p w:rsidR="00797684" w:rsidRDefault="00797684" w:rsidP="00796D5F">
      <w:pPr>
        <w:spacing w:after="0"/>
        <w:jc w:val="both"/>
        <w:rPr>
          <w:i/>
          <w:u w:val="single"/>
        </w:rPr>
      </w:pPr>
    </w:p>
    <w:p w:rsidR="00796D5F" w:rsidRDefault="00796D5F" w:rsidP="00796D5F">
      <w:pPr>
        <w:spacing w:after="0"/>
        <w:jc w:val="both"/>
        <w:rPr>
          <w:i/>
          <w:u w:val="single"/>
        </w:rPr>
      </w:pPr>
    </w:p>
    <w:p w:rsidR="00796D5F" w:rsidRDefault="00796D5F" w:rsidP="00796D5F">
      <w:pPr>
        <w:spacing w:after="0"/>
        <w:jc w:val="both"/>
        <w:rPr>
          <w:i/>
          <w:u w:val="single"/>
        </w:rPr>
      </w:pPr>
    </w:p>
    <w:p w:rsidR="00797684" w:rsidRPr="00D208D6" w:rsidRDefault="00797684" w:rsidP="00796D5F">
      <w:pPr>
        <w:spacing w:after="0"/>
        <w:jc w:val="both"/>
        <w:rPr>
          <w:i/>
          <w:u w:val="single"/>
        </w:rPr>
      </w:pPr>
      <w:r w:rsidRPr="00D208D6">
        <w:rPr>
          <w:i/>
          <w:u w:val="single"/>
        </w:rPr>
        <w:t>Pro více informací kontaktujte:</w:t>
      </w:r>
    </w:p>
    <w:p w:rsidR="00797684" w:rsidRPr="00DF5B86" w:rsidRDefault="00797684" w:rsidP="00796D5F">
      <w:pPr>
        <w:spacing w:after="0"/>
        <w:jc w:val="both"/>
        <w:rPr>
          <w:i/>
          <w:sz w:val="20"/>
        </w:rPr>
      </w:pPr>
      <w:r>
        <w:rPr>
          <w:b/>
          <w:i/>
        </w:rPr>
        <w:t>Jan Sedláček</w:t>
      </w:r>
      <w:r>
        <w:rPr>
          <w:i/>
        </w:rPr>
        <w:t xml:space="preserve">, starosta obce </w:t>
      </w:r>
      <w:r w:rsidR="00796D5F">
        <w:t>Křižánky</w:t>
      </w:r>
      <w:r w:rsidR="00796D5F">
        <w:rPr>
          <w:i/>
        </w:rPr>
        <w:t xml:space="preserve"> </w:t>
      </w:r>
      <w:r>
        <w:rPr>
          <w:i/>
        </w:rPr>
        <w:t xml:space="preserve">(Kraj Vysočina), místopředseda SMS ČR, 724 076 338, </w:t>
      </w:r>
      <w:r w:rsidRPr="00DF5B86">
        <w:rPr>
          <w:rFonts w:ascii="Arial CE" w:hAnsi="Arial CE" w:cs="Arial CE"/>
          <w:i/>
          <w:color w:val="535759"/>
          <w:sz w:val="20"/>
          <w:szCs w:val="18"/>
        </w:rPr>
        <w:br/>
      </w:r>
      <w:hyperlink r:id="rId6" w:history="1">
        <w:r w:rsidRPr="00DF5B86">
          <w:rPr>
            <w:rStyle w:val="Hypertextovodkaz"/>
            <w:rFonts w:ascii="Arial CE" w:hAnsi="Arial CE" w:cs="Arial CE"/>
            <w:i/>
            <w:color w:val="7B8F24"/>
            <w:sz w:val="20"/>
            <w:bdr w:val="none" w:sz="0" w:space="0" w:color="auto" w:frame="1"/>
            <w:shd w:val="clear" w:color="auto" w:fill="FFFFFF"/>
          </w:rPr>
          <w:t>starosta@obeckrizanky.cz</w:t>
        </w:r>
      </w:hyperlink>
    </w:p>
    <w:p w:rsidR="00796D5F" w:rsidRDefault="00796D5F" w:rsidP="00796D5F">
      <w:pPr>
        <w:spacing w:after="0"/>
        <w:jc w:val="both"/>
        <w:rPr>
          <w:b/>
          <w:i/>
        </w:rPr>
      </w:pPr>
    </w:p>
    <w:p w:rsidR="00797684" w:rsidRPr="00797684" w:rsidRDefault="00797684" w:rsidP="00796D5F">
      <w:pPr>
        <w:spacing w:after="0"/>
        <w:jc w:val="both"/>
        <w:rPr>
          <w:i/>
        </w:rPr>
      </w:pPr>
      <w:r>
        <w:rPr>
          <w:b/>
          <w:i/>
        </w:rPr>
        <w:t xml:space="preserve">Ivo Valenta, </w:t>
      </w:r>
      <w:r>
        <w:rPr>
          <w:i/>
        </w:rPr>
        <w:t>senátor,</w:t>
      </w:r>
      <w:r w:rsidR="00796D5F">
        <w:rPr>
          <w:i/>
        </w:rPr>
        <w:t xml:space="preserve"> 739 604 032, </w:t>
      </w:r>
      <w:hyperlink r:id="rId7" w:history="1">
        <w:r w:rsidR="00796D5F" w:rsidRPr="008A5A95">
          <w:rPr>
            <w:rStyle w:val="Hypertextovodkaz"/>
            <w:i/>
          </w:rPr>
          <w:t>kancelar.slovacko@ivalenta.cz</w:t>
        </w:r>
      </w:hyperlink>
      <w:r w:rsidR="00796D5F">
        <w:rPr>
          <w:i/>
        </w:rPr>
        <w:t xml:space="preserve"> </w:t>
      </w:r>
    </w:p>
    <w:p w:rsidR="00796D5F" w:rsidRDefault="00796D5F" w:rsidP="00796D5F">
      <w:pPr>
        <w:spacing w:after="0"/>
        <w:jc w:val="both"/>
        <w:rPr>
          <w:b/>
          <w:i/>
        </w:rPr>
      </w:pPr>
    </w:p>
    <w:p w:rsidR="00797684" w:rsidRPr="00797684" w:rsidRDefault="00797684" w:rsidP="00796D5F">
      <w:pPr>
        <w:spacing w:after="0"/>
        <w:jc w:val="both"/>
        <w:rPr>
          <w:i/>
        </w:rPr>
      </w:pPr>
      <w:r>
        <w:rPr>
          <w:b/>
          <w:i/>
        </w:rPr>
        <w:t xml:space="preserve">Jan Horník, </w:t>
      </w:r>
      <w:r>
        <w:rPr>
          <w:i/>
        </w:rPr>
        <w:t xml:space="preserve">senátor, předseda senátního klubu STAN, 603 472 670,  </w:t>
      </w:r>
      <w:hyperlink r:id="rId8" w:history="1">
        <w:r w:rsidRPr="0083412A">
          <w:rPr>
            <w:rStyle w:val="Hypertextovodkaz"/>
            <w:i/>
          </w:rPr>
          <w:t>hornikj@senat.cz</w:t>
        </w:r>
      </w:hyperlink>
      <w:r>
        <w:rPr>
          <w:i/>
        </w:rPr>
        <w:t xml:space="preserve"> </w:t>
      </w:r>
    </w:p>
    <w:p w:rsidR="00796D5F" w:rsidRDefault="00796D5F" w:rsidP="00796D5F">
      <w:pPr>
        <w:spacing w:after="0"/>
        <w:jc w:val="both"/>
        <w:rPr>
          <w:b/>
          <w:i/>
        </w:rPr>
      </w:pPr>
    </w:p>
    <w:p w:rsidR="00797684" w:rsidRPr="009E3C7D" w:rsidRDefault="00797684" w:rsidP="00796D5F">
      <w:pPr>
        <w:spacing w:after="0"/>
        <w:jc w:val="both"/>
        <w:rPr>
          <w:i/>
        </w:rPr>
      </w:pPr>
      <w:r w:rsidRPr="009E3C7D">
        <w:rPr>
          <w:b/>
          <w:i/>
        </w:rPr>
        <w:t>Tomáš Chmela</w:t>
      </w:r>
      <w:r w:rsidRPr="009E3C7D">
        <w:rPr>
          <w:i/>
        </w:rPr>
        <w:t>, tajemník SMS ČR, 724 776</w:t>
      </w:r>
      <w:r>
        <w:rPr>
          <w:i/>
        </w:rPr>
        <w:t> </w:t>
      </w:r>
      <w:r w:rsidRPr="009E3C7D">
        <w:rPr>
          <w:i/>
        </w:rPr>
        <w:t>797</w:t>
      </w:r>
    </w:p>
    <w:p w:rsidR="00797684" w:rsidRDefault="00797684" w:rsidP="00796D5F">
      <w:pPr>
        <w:spacing w:after="0"/>
        <w:jc w:val="both"/>
      </w:pPr>
    </w:p>
    <w:p w:rsidR="00797684" w:rsidRDefault="00797684" w:rsidP="00796D5F">
      <w:pPr>
        <w:spacing w:after="0"/>
        <w:jc w:val="both"/>
      </w:pPr>
    </w:p>
    <w:p w:rsidR="00797684" w:rsidRDefault="00797684" w:rsidP="00796D5F">
      <w:pPr>
        <w:spacing w:after="0"/>
        <w:jc w:val="both"/>
      </w:pPr>
      <w:r>
        <w:t>__________________________________________________________________________________</w:t>
      </w:r>
    </w:p>
    <w:p w:rsidR="00796D5F" w:rsidRDefault="00796D5F" w:rsidP="00796D5F">
      <w:pPr>
        <w:spacing w:after="0"/>
        <w:jc w:val="both"/>
        <w:rPr>
          <w:b/>
        </w:rPr>
      </w:pPr>
    </w:p>
    <w:p w:rsidR="00D31560" w:rsidRPr="00797684" w:rsidRDefault="005E69A5" w:rsidP="00796D5F">
      <w:pPr>
        <w:spacing w:after="0"/>
        <w:jc w:val="both"/>
        <w:rPr>
          <w:b/>
        </w:rPr>
      </w:pPr>
      <w:r w:rsidRPr="00797684">
        <w:rPr>
          <w:b/>
        </w:rPr>
        <w:t>Citace zákona</w:t>
      </w:r>
      <w:r w:rsidR="00D31560" w:rsidRPr="00797684">
        <w:rPr>
          <w:b/>
        </w:rPr>
        <w:t xml:space="preserve"> č. 102/2017 Sb., noveliz</w:t>
      </w:r>
      <w:r w:rsidRPr="00797684">
        <w:rPr>
          <w:b/>
        </w:rPr>
        <w:t>ující</w:t>
      </w:r>
      <w:r w:rsidR="00D31560" w:rsidRPr="00797684">
        <w:rPr>
          <w:b/>
        </w:rPr>
        <w:t xml:space="preserve"> autorský zákon č. 121/2000 Sb</w:t>
      </w:r>
      <w:r w:rsidRPr="00797684">
        <w:rPr>
          <w:b/>
        </w:rPr>
        <w:t>.</w:t>
      </w:r>
      <w:r w:rsidR="00D31560" w:rsidRPr="00797684">
        <w:rPr>
          <w:b/>
        </w:rPr>
        <w:t xml:space="preserve">, čl. II </w:t>
      </w:r>
      <w:r w:rsidR="00797684">
        <w:rPr>
          <w:b/>
        </w:rPr>
        <w:t>-</w:t>
      </w:r>
      <w:r w:rsidR="00D31560" w:rsidRPr="00797684">
        <w:rPr>
          <w:b/>
        </w:rPr>
        <w:t xml:space="preserve"> přechodná ustanovení b. 8</w:t>
      </w:r>
    </w:p>
    <w:p w:rsidR="00D31560" w:rsidRDefault="00D31560" w:rsidP="00796D5F">
      <w:pPr>
        <w:spacing w:after="0"/>
        <w:jc w:val="both"/>
        <w:rPr>
          <w:i/>
        </w:rPr>
      </w:pPr>
      <w:r w:rsidRPr="00D31560">
        <w:rPr>
          <w:i/>
        </w:rPr>
        <w:t>8. Zveřejnil-li kolektivní správce přede dnem nabytí účinnosti tohoto zákona návrh výše odm</w:t>
      </w:r>
      <w:r w:rsidRPr="00D31560">
        <w:rPr>
          <w:rFonts w:ascii="Calibri" w:hAnsi="Calibri" w:cs="Calibri"/>
          <w:i/>
        </w:rPr>
        <w:t>ě</w:t>
      </w:r>
      <w:r w:rsidRPr="00D31560">
        <w:rPr>
          <w:i/>
        </w:rPr>
        <w:t>n nebo n</w:t>
      </w:r>
      <w:r w:rsidRPr="00D31560">
        <w:rPr>
          <w:rFonts w:ascii="Calibri" w:hAnsi="Calibri" w:cs="Calibri"/>
          <w:i/>
        </w:rPr>
        <w:t>á</w:t>
      </w:r>
      <w:r w:rsidRPr="00D31560">
        <w:rPr>
          <w:i/>
        </w:rPr>
        <w:t>vrh zp</w:t>
      </w:r>
      <w:r w:rsidRPr="00D31560">
        <w:rPr>
          <w:rFonts w:ascii="Calibri" w:hAnsi="Calibri" w:cs="Calibri"/>
          <w:i/>
        </w:rPr>
        <w:t>ů</w:t>
      </w:r>
      <w:r w:rsidRPr="00D31560">
        <w:rPr>
          <w:i/>
        </w:rPr>
        <w:t>sobu jejich ur</w:t>
      </w:r>
      <w:r w:rsidRPr="00D31560">
        <w:rPr>
          <w:rFonts w:ascii="Calibri" w:hAnsi="Calibri" w:cs="Calibri"/>
          <w:i/>
        </w:rPr>
        <w:t>č</w:t>
      </w:r>
      <w:r w:rsidRPr="00D31560">
        <w:rPr>
          <w:i/>
        </w:rPr>
        <w:t>en</w:t>
      </w:r>
      <w:r w:rsidRPr="00D31560">
        <w:rPr>
          <w:rFonts w:ascii="Calibri" w:hAnsi="Calibri" w:cs="Calibri"/>
          <w:i/>
        </w:rPr>
        <w:t>í</w:t>
      </w:r>
      <w:r w:rsidRPr="00D31560">
        <w:rPr>
          <w:i/>
        </w:rPr>
        <w:t xml:space="preserve"> (n</w:t>
      </w:r>
      <w:r w:rsidRPr="00D31560">
        <w:rPr>
          <w:rFonts w:ascii="Calibri" w:hAnsi="Calibri" w:cs="Calibri"/>
          <w:i/>
        </w:rPr>
        <w:t>á</w:t>
      </w:r>
      <w:r w:rsidRPr="00D31560">
        <w:rPr>
          <w:i/>
        </w:rPr>
        <w:t>vrh sazebn</w:t>
      </w:r>
      <w:r w:rsidRPr="00D31560">
        <w:rPr>
          <w:rFonts w:ascii="Calibri" w:hAnsi="Calibri" w:cs="Calibri"/>
          <w:i/>
        </w:rPr>
        <w:t>í</w:t>
      </w:r>
      <w:r w:rsidRPr="00D31560">
        <w:rPr>
          <w:i/>
        </w:rPr>
        <w:t>ku), av</w:t>
      </w:r>
      <w:r w:rsidRPr="00D31560">
        <w:rPr>
          <w:rFonts w:ascii="Calibri" w:hAnsi="Calibri" w:cs="Calibri"/>
          <w:i/>
        </w:rPr>
        <w:t>š</w:t>
      </w:r>
      <w:r w:rsidRPr="00D31560">
        <w:rPr>
          <w:i/>
        </w:rPr>
        <w:t>ak pro obdob</w:t>
      </w:r>
      <w:r w:rsidRPr="00D31560">
        <w:rPr>
          <w:rFonts w:ascii="Calibri" w:hAnsi="Calibri" w:cs="Calibri"/>
          <w:i/>
        </w:rPr>
        <w:t>í</w:t>
      </w:r>
      <w:r w:rsidRPr="00D31560">
        <w:rPr>
          <w:i/>
        </w:rPr>
        <w:t xml:space="preserve"> platn</w:t>
      </w:r>
      <w:r w:rsidRPr="00D31560">
        <w:rPr>
          <w:rFonts w:ascii="Calibri" w:hAnsi="Calibri" w:cs="Calibri"/>
          <w:i/>
        </w:rPr>
        <w:t>é</w:t>
      </w:r>
      <w:r w:rsidRPr="00D31560">
        <w:rPr>
          <w:i/>
        </w:rPr>
        <w:t xml:space="preserve"> po nabyt</w:t>
      </w:r>
      <w:r w:rsidRPr="00D31560">
        <w:rPr>
          <w:rFonts w:ascii="Calibri" w:hAnsi="Calibri" w:cs="Calibri"/>
          <w:i/>
        </w:rPr>
        <w:t>í</w:t>
      </w:r>
      <w:r w:rsidRPr="00D31560">
        <w:rPr>
          <w:i/>
        </w:rPr>
        <w:t xml:space="preserve"> jeho </w:t>
      </w:r>
      <w:r w:rsidRPr="00D31560">
        <w:rPr>
          <w:rFonts w:ascii="Calibri" w:hAnsi="Calibri" w:cs="Calibri"/>
          <w:i/>
        </w:rPr>
        <w:t>úč</w:t>
      </w:r>
      <w:r w:rsidRPr="00D31560">
        <w:rPr>
          <w:i/>
        </w:rPr>
        <w:t xml:space="preserve">innosti, </w:t>
      </w:r>
      <w:r w:rsidRPr="005E69A5">
        <w:rPr>
          <w:b/>
          <w:i/>
        </w:rPr>
        <w:t>p</w:t>
      </w:r>
      <w:r w:rsidRPr="005E69A5">
        <w:rPr>
          <w:rFonts w:ascii="Calibri" w:hAnsi="Calibri" w:cs="Calibri"/>
          <w:b/>
          <w:i/>
        </w:rPr>
        <w:t>ř</w:t>
      </w:r>
      <w:r w:rsidRPr="005E69A5">
        <w:rPr>
          <w:b/>
          <w:i/>
        </w:rPr>
        <w:t>esahuj</w:t>
      </w:r>
      <w:r w:rsidRPr="005E69A5">
        <w:rPr>
          <w:rFonts w:ascii="Calibri" w:hAnsi="Calibri" w:cs="Calibri"/>
          <w:b/>
          <w:i/>
        </w:rPr>
        <w:t>í</w:t>
      </w:r>
      <w:r w:rsidRPr="005E69A5">
        <w:rPr>
          <w:b/>
          <w:i/>
        </w:rPr>
        <w:t>c</w:t>
      </w:r>
      <w:r w:rsidRPr="005E69A5">
        <w:rPr>
          <w:rFonts w:ascii="Calibri" w:hAnsi="Calibri" w:cs="Calibri"/>
          <w:b/>
          <w:i/>
        </w:rPr>
        <w:t>í</w:t>
      </w:r>
      <w:r w:rsidRPr="005E69A5">
        <w:rPr>
          <w:b/>
          <w:i/>
        </w:rPr>
        <w:t xml:space="preserve"> n</w:t>
      </w:r>
      <w:r w:rsidRPr="005E69A5">
        <w:rPr>
          <w:rFonts w:ascii="Calibri" w:hAnsi="Calibri" w:cs="Calibri"/>
          <w:b/>
          <w:i/>
        </w:rPr>
        <w:t>á</w:t>
      </w:r>
      <w:r w:rsidRPr="005E69A5">
        <w:rPr>
          <w:b/>
          <w:i/>
        </w:rPr>
        <w:t>r</w:t>
      </w:r>
      <w:r w:rsidRPr="005E69A5">
        <w:rPr>
          <w:rFonts w:ascii="Calibri" w:hAnsi="Calibri" w:cs="Calibri"/>
          <w:b/>
          <w:i/>
        </w:rPr>
        <w:t>ů</w:t>
      </w:r>
      <w:r w:rsidRPr="005E69A5">
        <w:rPr>
          <w:b/>
          <w:i/>
        </w:rPr>
        <w:t>st sazeb oproti posledn</w:t>
      </w:r>
      <w:r w:rsidRPr="005E69A5">
        <w:rPr>
          <w:rFonts w:ascii="Calibri" w:hAnsi="Calibri" w:cs="Calibri"/>
          <w:b/>
          <w:i/>
        </w:rPr>
        <w:t>í</w:t>
      </w:r>
      <w:r w:rsidRPr="005E69A5">
        <w:rPr>
          <w:b/>
          <w:i/>
        </w:rPr>
        <w:t>mu p</w:t>
      </w:r>
      <w:r w:rsidRPr="005E69A5">
        <w:rPr>
          <w:rFonts w:ascii="Calibri" w:hAnsi="Calibri" w:cs="Calibri"/>
          <w:b/>
          <w:i/>
        </w:rPr>
        <w:t>ř</w:t>
      </w:r>
      <w:r w:rsidRPr="005E69A5">
        <w:rPr>
          <w:b/>
          <w:i/>
        </w:rPr>
        <w:t>edchoz</w:t>
      </w:r>
      <w:r w:rsidRPr="005E69A5">
        <w:rPr>
          <w:rFonts w:ascii="Calibri" w:hAnsi="Calibri" w:cs="Calibri"/>
          <w:b/>
          <w:i/>
        </w:rPr>
        <w:t>í</w:t>
      </w:r>
      <w:r w:rsidRPr="005E69A5">
        <w:rPr>
          <w:b/>
          <w:i/>
        </w:rPr>
        <w:t xml:space="preserve">mu sazebníku </w:t>
      </w:r>
      <w:r w:rsidRPr="005E69A5">
        <w:rPr>
          <w:b/>
          <w:i/>
          <w:u w:val="single"/>
        </w:rPr>
        <w:t>vyšš</w:t>
      </w:r>
      <w:r w:rsidRPr="005E69A5">
        <w:rPr>
          <w:rFonts w:ascii="Calibri" w:hAnsi="Calibri" w:cs="Calibri"/>
          <w:b/>
          <w:i/>
          <w:u w:val="single"/>
        </w:rPr>
        <w:t>í</w:t>
      </w:r>
      <w:r w:rsidRPr="005E69A5">
        <w:rPr>
          <w:b/>
          <w:i/>
          <w:u w:val="single"/>
        </w:rPr>
        <w:t xml:space="preserve"> ne</w:t>
      </w:r>
      <w:r w:rsidRPr="005E69A5">
        <w:rPr>
          <w:rFonts w:ascii="Calibri" w:hAnsi="Calibri" w:cs="Calibri"/>
          <w:b/>
          <w:i/>
          <w:u w:val="single"/>
        </w:rPr>
        <w:t>ž</w:t>
      </w:r>
      <w:r w:rsidRPr="005E69A5">
        <w:rPr>
          <w:b/>
          <w:i/>
          <w:u w:val="single"/>
        </w:rPr>
        <w:t xml:space="preserve"> trojn</w:t>
      </w:r>
      <w:r w:rsidRPr="005E69A5">
        <w:rPr>
          <w:rFonts w:ascii="Calibri" w:hAnsi="Calibri" w:cs="Calibri"/>
          <w:b/>
          <w:i/>
          <w:u w:val="single"/>
        </w:rPr>
        <w:t>á</w:t>
      </w:r>
      <w:r w:rsidRPr="005E69A5">
        <w:rPr>
          <w:b/>
          <w:i/>
          <w:u w:val="single"/>
        </w:rPr>
        <w:t>sobek inflace za obdob</w:t>
      </w:r>
      <w:r w:rsidRPr="005E69A5">
        <w:rPr>
          <w:rFonts w:ascii="Calibri" w:hAnsi="Calibri" w:cs="Calibri"/>
          <w:b/>
          <w:i/>
          <w:u w:val="single"/>
        </w:rPr>
        <w:t>í</w:t>
      </w:r>
      <w:r w:rsidRPr="005E69A5">
        <w:rPr>
          <w:b/>
          <w:i/>
          <w:u w:val="single"/>
        </w:rPr>
        <w:t xml:space="preserve"> t</w:t>
      </w:r>
      <w:r w:rsidRPr="005E69A5">
        <w:rPr>
          <w:rFonts w:ascii="Calibri" w:hAnsi="Calibri" w:cs="Calibri"/>
          <w:b/>
          <w:i/>
          <w:u w:val="single"/>
        </w:rPr>
        <w:t>ří</w:t>
      </w:r>
      <w:r w:rsidRPr="005E69A5">
        <w:rPr>
          <w:b/>
          <w:i/>
          <w:u w:val="single"/>
        </w:rPr>
        <w:t xml:space="preserve"> </w:t>
      </w:r>
      <w:r w:rsidRPr="005E69A5">
        <w:rPr>
          <w:rFonts w:ascii="Calibri" w:hAnsi="Calibri" w:cs="Calibri"/>
          <w:b/>
          <w:i/>
          <w:u w:val="single"/>
        </w:rPr>
        <w:t>ú</w:t>
      </w:r>
      <w:r w:rsidRPr="005E69A5">
        <w:rPr>
          <w:b/>
          <w:i/>
          <w:u w:val="single"/>
        </w:rPr>
        <w:t>pln</w:t>
      </w:r>
      <w:r w:rsidRPr="005E69A5">
        <w:rPr>
          <w:rFonts w:ascii="Calibri" w:hAnsi="Calibri" w:cs="Calibri"/>
          <w:b/>
          <w:i/>
          <w:u w:val="single"/>
        </w:rPr>
        <w:t>ý</w:t>
      </w:r>
      <w:r w:rsidRPr="005E69A5">
        <w:rPr>
          <w:b/>
          <w:i/>
          <w:u w:val="single"/>
        </w:rPr>
        <w:t>ch kalend</w:t>
      </w:r>
      <w:r w:rsidRPr="005E69A5">
        <w:rPr>
          <w:rFonts w:ascii="Calibri" w:hAnsi="Calibri" w:cs="Calibri"/>
          <w:b/>
          <w:i/>
          <w:u w:val="single"/>
        </w:rPr>
        <w:t>ář</w:t>
      </w:r>
      <w:r w:rsidRPr="005E69A5">
        <w:rPr>
          <w:b/>
          <w:i/>
          <w:u w:val="single"/>
        </w:rPr>
        <w:t>n</w:t>
      </w:r>
      <w:r w:rsidRPr="005E69A5">
        <w:rPr>
          <w:rFonts w:ascii="Calibri" w:hAnsi="Calibri" w:cs="Calibri"/>
          <w:b/>
          <w:i/>
          <w:u w:val="single"/>
        </w:rPr>
        <w:t>í</w:t>
      </w:r>
      <w:r w:rsidRPr="005E69A5">
        <w:rPr>
          <w:b/>
          <w:i/>
          <w:u w:val="single"/>
        </w:rPr>
        <w:t>ch let</w:t>
      </w:r>
      <w:r w:rsidRPr="005E69A5">
        <w:rPr>
          <w:b/>
          <w:i/>
        </w:rPr>
        <w:t xml:space="preserve"> p</w:t>
      </w:r>
      <w:r w:rsidRPr="005E69A5">
        <w:rPr>
          <w:rFonts w:ascii="Calibri" w:hAnsi="Calibri" w:cs="Calibri"/>
          <w:b/>
          <w:i/>
        </w:rPr>
        <w:t>ř</w:t>
      </w:r>
      <w:r w:rsidRPr="005E69A5">
        <w:rPr>
          <w:b/>
          <w:i/>
        </w:rPr>
        <w:t>edch</w:t>
      </w:r>
      <w:r w:rsidRPr="005E69A5">
        <w:rPr>
          <w:rFonts w:ascii="Calibri" w:hAnsi="Calibri" w:cs="Calibri"/>
          <w:b/>
          <w:i/>
        </w:rPr>
        <w:t>á</w:t>
      </w:r>
      <w:r w:rsidRPr="005E69A5">
        <w:rPr>
          <w:b/>
          <w:i/>
        </w:rPr>
        <w:t>zej</w:t>
      </w:r>
      <w:r w:rsidRPr="005E69A5">
        <w:rPr>
          <w:rFonts w:ascii="Calibri" w:hAnsi="Calibri" w:cs="Calibri"/>
          <w:b/>
          <w:i/>
        </w:rPr>
        <w:t>í</w:t>
      </w:r>
      <w:r w:rsidRPr="005E69A5">
        <w:rPr>
          <w:b/>
          <w:i/>
        </w:rPr>
        <w:t>c</w:t>
      </w:r>
      <w:r w:rsidRPr="005E69A5">
        <w:rPr>
          <w:rFonts w:ascii="Calibri" w:hAnsi="Calibri" w:cs="Calibri"/>
          <w:b/>
          <w:i/>
        </w:rPr>
        <w:t>í</w:t>
      </w:r>
      <w:r w:rsidRPr="005E69A5">
        <w:rPr>
          <w:b/>
          <w:i/>
        </w:rPr>
        <w:t xml:space="preserve"> obdob</w:t>
      </w:r>
      <w:r w:rsidRPr="005E69A5">
        <w:rPr>
          <w:rFonts w:ascii="Calibri" w:hAnsi="Calibri" w:cs="Calibri"/>
          <w:b/>
          <w:i/>
        </w:rPr>
        <w:t>í</w:t>
      </w:r>
      <w:r w:rsidRPr="00D31560">
        <w:rPr>
          <w:i/>
        </w:rPr>
        <w:t>, pro n</w:t>
      </w:r>
      <w:r w:rsidRPr="00D31560">
        <w:rPr>
          <w:rFonts w:ascii="Calibri" w:hAnsi="Calibri" w:cs="Calibri"/>
          <w:i/>
        </w:rPr>
        <w:t>ě</w:t>
      </w:r>
      <w:r w:rsidRPr="00D31560">
        <w:rPr>
          <w:i/>
        </w:rPr>
        <w:t>j</w:t>
      </w:r>
      <w:r w:rsidRPr="00D31560">
        <w:rPr>
          <w:rFonts w:ascii="Calibri" w:hAnsi="Calibri" w:cs="Calibri"/>
          <w:i/>
        </w:rPr>
        <w:t>ž</w:t>
      </w:r>
      <w:r w:rsidRPr="00D31560">
        <w:rPr>
          <w:i/>
        </w:rPr>
        <w:t xml:space="preserve"> m</w:t>
      </w:r>
      <w:r w:rsidRPr="00D31560">
        <w:rPr>
          <w:rFonts w:ascii="Calibri" w:hAnsi="Calibri" w:cs="Calibri"/>
          <w:i/>
        </w:rPr>
        <w:t>á</w:t>
      </w:r>
      <w:r w:rsidRPr="00D31560">
        <w:rPr>
          <w:i/>
        </w:rPr>
        <w:t xml:space="preserve"> platit nov</w:t>
      </w:r>
      <w:r w:rsidRPr="00D31560">
        <w:rPr>
          <w:rFonts w:ascii="Calibri" w:hAnsi="Calibri" w:cs="Calibri"/>
          <w:i/>
        </w:rPr>
        <w:t>á</w:t>
      </w:r>
      <w:r w:rsidRPr="00D31560">
        <w:rPr>
          <w:i/>
        </w:rPr>
        <w:t xml:space="preserve"> v</w:t>
      </w:r>
      <w:r w:rsidRPr="00D31560">
        <w:rPr>
          <w:rFonts w:ascii="Calibri" w:hAnsi="Calibri" w:cs="Calibri"/>
          <w:i/>
        </w:rPr>
        <w:t>ýš</w:t>
      </w:r>
      <w:r w:rsidRPr="00D31560">
        <w:rPr>
          <w:i/>
        </w:rPr>
        <w:t>e sazby odm</w:t>
      </w:r>
      <w:r w:rsidRPr="00D31560">
        <w:rPr>
          <w:rFonts w:ascii="Calibri" w:hAnsi="Calibri" w:cs="Calibri"/>
          <w:i/>
        </w:rPr>
        <w:t>ě</w:t>
      </w:r>
      <w:r w:rsidRPr="00D31560">
        <w:rPr>
          <w:i/>
        </w:rPr>
        <w:t>ny, je povinen z</w:t>
      </w:r>
      <w:r w:rsidRPr="00D31560">
        <w:rPr>
          <w:rFonts w:ascii="Calibri" w:hAnsi="Calibri" w:cs="Calibri"/>
          <w:i/>
        </w:rPr>
        <w:t>í</w:t>
      </w:r>
      <w:r w:rsidRPr="00D31560">
        <w:rPr>
          <w:i/>
        </w:rPr>
        <w:t>skat pro obdob</w:t>
      </w:r>
      <w:r w:rsidRPr="00D31560">
        <w:rPr>
          <w:rFonts w:ascii="Calibri" w:hAnsi="Calibri" w:cs="Calibri"/>
          <w:i/>
        </w:rPr>
        <w:t>í</w:t>
      </w:r>
      <w:r w:rsidRPr="00D31560">
        <w:rPr>
          <w:i/>
        </w:rPr>
        <w:t xml:space="preserve"> po nabyt</w:t>
      </w:r>
      <w:r w:rsidRPr="00D31560">
        <w:rPr>
          <w:rFonts w:ascii="Calibri" w:hAnsi="Calibri" w:cs="Calibri"/>
          <w:i/>
        </w:rPr>
        <w:t>í</w:t>
      </w:r>
      <w:r w:rsidRPr="00D31560">
        <w:rPr>
          <w:i/>
        </w:rPr>
        <w:t xml:space="preserve"> </w:t>
      </w:r>
      <w:r w:rsidRPr="00D31560">
        <w:rPr>
          <w:rFonts w:ascii="Calibri" w:hAnsi="Calibri" w:cs="Calibri"/>
          <w:i/>
        </w:rPr>
        <w:t>úč</w:t>
      </w:r>
      <w:r w:rsidRPr="00D31560">
        <w:rPr>
          <w:i/>
        </w:rPr>
        <w:t>innosti tohoto z</w:t>
      </w:r>
      <w:r w:rsidRPr="00D31560">
        <w:rPr>
          <w:rFonts w:ascii="Calibri" w:hAnsi="Calibri" w:cs="Calibri"/>
          <w:i/>
        </w:rPr>
        <w:t>á</w:t>
      </w:r>
      <w:r w:rsidRPr="00D31560">
        <w:rPr>
          <w:i/>
        </w:rPr>
        <w:t xml:space="preserve">kona souhlas </w:t>
      </w:r>
      <w:r w:rsidRPr="00D31560">
        <w:rPr>
          <w:rFonts w:ascii="Calibri" w:hAnsi="Calibri" w:cs="Calibri"/>
          <w:i/>
        </w:rPr>
        <w:t>Úř</w:t>
      </w:r>
      <w:r w:rsidRPr="00D31560">
        <w:rPr>
          <w:i/>
        </w:rPr>
        <w:t>adu pro ochranu hospod</w:t>
      </w:r>
      <w:r w:rsidRPr="00D31560">
        <w:rPr>
          <w:rFonts w:ascii="Calibri" w:hAnsi="Calibri" w:cs="Calibri"/>
          <w:i/>
        </w:rPr>
        <w:t>ář</w:t>
      </w:r>
      <w:r w:rsidRPr="00D31560">
        <w:rPr>
          <w:i/>
        </w:rPr>
        <w:t>sk</w:t>
      </w:r>
      <w:r w:rsidRPr="00D31560">
        <w:rPr>
          <w:rFonts w:ascii="Calibri" w:hAnsi="Calibri" w:cs="Calibri"/>
          <w:i/>
        </w:rPr>
        <w:t>é</w:t>
      </w:r>
      <w:r w:rsidRPr="00D31560">
        <w:rPr>
          <w:i/>
        </w:rPr>
        <w:t xml:space="preserve"> sout</w:t>
      </w:r>
      <w:r w:rsidRPr="00D31560">
        <w:rPr>
          <w:rFonts w:ascii="Calibri" w:hAnsi="Calibri" w:cs="Calibri"/>
          <w:i/>
        </w:rPr>
        <w:t>ěž</w:t>
      </w:r>
      <w:r w:rsidRPr="00D31560">
        <w:rPr>
          <w:i/>
        </w:rPr>
        <w:t>e. P</w:t>
      </w:r>
      <w:r w:rsidRPr="00D31560">
        <w:rPr>
          <w:rFonts w:ascii="Calibri" w:hAnsi="Calibri" w:cs="Calibri"/>
          <w:i/>
        </w:rPr>
        <w:t>ř</w:t>
      </w:r>
      <w:r w:rsidRPr="00D31560">
        <w:rPr>
          <w:i/>
        </w:rPr>
        <w:t>i posouzení, zda souhlas vydá, Úřad přihlédne zejména ke kritériím uvedeným v § 98e odst. 3 a dále k tomu, zda nedochází ke zneužití dominantního postavení kolektivního správce v hospodářské soutěži anebo zda nehrozí jiná závažná újma při ochraně hospodářské soutěže podle zvlá</w:t>
      </w:r>
      <w:r w:rsidRPr="00D31560">
        <w:rPr>
          <w:rFonts w:ascii="Calibri" w:hAnsi="Calibri" w:cs="Calibri"/>
          <w:i/>
        </w:rPr>
        <w:t>š</w:t>
      </w:r>
      <w:r w:rsidRPr="00D31560">
        <w:rPr>
          <w:i/>
        </w:rPr>
        <w:t>tn</w:t>
      </w:r>
      <w:r w:rsidRPr="00D31560">
        <w:rPr>
          <w:rFonts w:ascii="Calibri" w:hAnsi="Calibri" w:cs="Calibri"/>
          <w:i/>
        </w:rPr>
        <w:t>í</w:t>
      </w:r>
      <w:r w:rsidRPr="00D31560">
        <w:rPr>
          <w:i/>
        </w:rPr>
        <w:t>ho p</w:t>
      </w:r>
      <w:r w:rsidRPr="00D31560">
        <w:rPr>
          <w:rFonts w:ascii="Calibri" w:hAnsi="Calibri" w:cs="Calibri"/>
          <w:i/>
        </w:rPr>
        <w:t>ř</w:t>
      </w:r>
      <w:r w:rsidRPr="00D31560">
        <w:rPr>
          <w:i/>
        </w:rPr>
        <w:t>edpisu1). Do doby, ne</w:t>
      </w:r>
      <w:r w:rsidRPr="00D31560">
        <w:rPr>
          <w:rFonts w:ascii="Calibri" w:hAnsi="Calibri" w:cs="Calibri"/>
          <w:i/>
        </w:rPr>
        <w:t>ž</w:t>
      </w:r>
      <w:r w:rsidRPr="00D31560">
        <w:rPr>
          <w:i/>
        </w:rPr>
        <w:t xml:space="preserve"> z</w:t>
      </w:r>
      <w:r w:rsidRPr="00D31560">
        <w:rPr>
          <w:rFonts w:ascii="Calibri" w:hAnsi="Calibri" w:cs="Calibri"/>
          <w:i/>
        </w:rPr>
        <w:t>í</w:t>
      </w:r>
      <w:r w:rsidRPr="00D31560">
        <w:rPr>
          <w:i/>
        </w:rPr>
        <w:t>sk</w:t>
      </w:r>
      <w:r w:rsidRPr="00D31560">
        <w:rPr>
          <w:rFonts w:ascii="Calibri" w:hAnsi="Calibri" w:cs="Calibri"/>
          <w:i/>
        </w:rPr>
        <w:t>á</w:t>
      </w:r>
      <w:r w:rsidRPr="00D31560">
        <w:rPr>
          <w:i/>
        </w:rPr>
        <w:t xml:space="preserve"> tento souhlas, se lze ve sporu vypl</w:t>
      </w:r>
      <w:r w:rsidRPr="00D31560">
        <w:rPr>
          <w:rFonts w:ascii="Calibri" w:hAnsi="Calibri" w:cs="Calibri"/>
          <w:i/>
        </w:rPr>
        <w:t>ý</w:t>
      </w:r>
      <w:r w:rsidRPr="00D31560">
        <w:rPr>
          <w:i/>
        </w:rPr>
        <w:t>vaj</w:t>
      </w:r>
      <w:r w:rsidRPr="00D31560">
        <w:rPr>
          <w:rFonts w:ascii="Calibri" w:hAnsi="Calibri" w:cs="Calibri"/>
          <w:i/>
        </w:rPr>
        <w:t>í</w:t>
      </w:r>
      <w:r w:rsidRPr="00D31560">
        <w:rPr>
          <w:i/>
        </w:rPr>
        <w:t>c</w:t>
      </w:r>
      <w:r w:rsidRPr="00D31560">
        <w:rPr>
          <w:rFonts w:ascii="Calibri" w:hAnsi="Calibri" w:cs="Calibri"/>
          <w:i/>
        </w:rPr>
        <w:t>í</w:t>
      </w:r>
      <w:r w:rsidRPr="00D31560">
        <w:rPr>
          <w:i/>
        </w:rPr>
        <w:t>m z pr</w:t>
      </w:r>
      <w:r w:rsidRPr="00D31560">
        <w:rPr>
          <w:rFonts w:ascii="Calibri" w:hAnsi="Calibri" w:cs="Calibri"/>
          <w:i/>
        </w:rPr>
        <w:t>á</w:t>
      </w:r>
      <w:r w:rsidRPr="00D31560">
        <w:rPr>
          <w:i/>
        </w:rPr>
        <w:t>va du</w:t>
      </w:r>
      <w:r w:rsidRPr="00D31560">
        <w:rPr>
          <w:rFonts w:ascii="Calibri" w:hAnsi="Calibri" w:cs="Calibri"/>
          <w:i/>
        </w:rPr>
        <w:t>š</w:t>
      </w:r>
      <w:r w:rsidRPr="00D31560">
        <w:rPr>
          <w:i/>
        </w:rPr>
        <w:t>evn</w:t>
      </w:r>
      <w:r w:rsidRPr="00D31560">
        <w:rPr>
          <w:rFonts w:ascii="Calibri" w:hAnsi="Calibri" w:cs="Calibri"/>
          <w:i/>
        </w:rPr>
        <w:t>í</w:t>
      </w:r>
      <w:r w:rsidRPr="00D31560">
        <w:rPr>
          <w:i/>
        </w:rPr>
        <w:t xml:space="preserve"> vlastnictv</w:t>
      </w:r>
      <w:r w:rsidRPr="00D31560">
        <w:rPr>
          <w:rFonts w:ascii="Calibri" w:hAnsi="Calibri" w:cs="Calibri"/>
          <w:i/>
        </w:rPr>
        <w:t>í</w:t>
      </w:r>
      <w:r w:rsidRPr="00D31560">
        <w:rPr>
          <w:i/>
        </w:rPr>
        <w:t xml:space="preserve">2) </w:t>
      </w:r>
      <w:r w:rsidRPr="00D31560">
        <w:rPr>
          <w:rFonts w:ascii="Calibri" w:hAnsi="Calibri" w:cs="Calibri"/>
          <w:i/>
        </w:rPr>
        <w:t>úč</w:t>
      </w:r>
      <w:r w:rsidRPr="00D31560">
        <w:rPr>
          <w:i/>
        </w:rPr>
        <w:t>inn</w:t>
      </w:r>
      <w:r w:rsidRPr="00D31560">
        <w:rPr>
          <w:rFonts w:ascii="Calibri" w:hAnsi="Calibri" w:cs="Calibri"/>
          <w:i/>
        </w:rPr>
        <w:t>ě</w:t>
      </w:r>
      <w:r w:rsidRPr="00D31560">
        <w:rPr>
          <w:i/>
        </w:rPr>
        <w:t xml:space="preserve"> dovol</w:t>
      </w:r>
      <w:r w:rsidRPr="00D31560">
        <w:rPr>
          <w:rFonts w:ascii="Calibri" w:hAnsi="Calibri" w:cs="Calibri"/>
          <w:i/>
        </w:rPr>
        <w:t>á</w:t>
      </w:r>
      <w:r w:rsidRPr="00D31560">
        <w:rPr>
          <w:i/>
        </w:rPr>
        <w:t>vat jen sazeb platn</w:t>
      </w:r>
      <w:r w:rsidRPr="00D31560">
        <w:rPr>
          <w:rFonts w:ascii="Calibri" w:hAnsi="Calibri" w:cs="Calibri"/>
          <w:i/>
        </w:rPr>
        <w:t>ý</w:t>
      </w:r>
      <w:r w:rsidRPr="00D31560">
        <w:rPr>
          <w:i/>
        </w:rPr>
        <w:t>ch v posledním předchozím sazebníku odměn, navý</w:t>
      </w:r>
      <w:r w:rsidRPr="00D31560">
        <w:rPr>
          <w:rFonts w:ascii="Calibri" w:hAnsi="Calibri" w:cs="Calibri"/>
          <w:i/>
        </w:rPr>
        <w:t>š</w:t>
      </w:r>
      <w:r w:rsidRPr="00D31560">
        <w:rPr>
          <w:i/>
        </w:rPr>
        <w:t>en</w:t>
      </w:r>
      <w:r w:rsidRPr="00D31560">
        <w:rPr>
          <w:rFonts w:ascii="Calibri" w:hAnsi="Calibri" w:cs="Calibri"/>
          <w:i/>
        </w:rPr>
        <w:t>ý</w:t>
      </w:r>
      <w:r w:rsidRPr="00D31560">
        <w:rPr>
          <w:i/>
        </w:rPr>
        <w:t>ch nejv</w:t>
      </w:r>
      <w:r w:rsidRPr="00D31560">
        <w:rPr>
          <w:rFonts w:ascii="Calibri" w:hAnsi="Calibri" w:cs="Calibri"/>
          <w:i/>
        </w:rPr>
        <w:t>ýš</w:t>
      </w:r>
      <w:r w:rsidRPr="00D31560">
        <w:rPr>
          <w:i/>
        </w:rPr>
        <w:t>e o trojn</w:t>
      </w:r>
      <w:r w:rsidRPr="00D31560">
        <w:rPr>
          <w:rFonts w:ascii="Calibri" w:hAnsi="Calibri" w:cs="Calibri"/>
          <w:i/>
        </w:rPr>
        <w:t>á</w:t>
      </w:r>
      <w:r w:rsidRPr="00D31560">
        <w:rPr>
          <w:i/>
        </w:rPr>
        <w:t>sobek inflace dle v</w:t>
      </w:r>
      <w:r w:rsidRPr="00D31560">
        <w:rPr>
          <w:rFonts w:ascii="Calibri" w:hAnsi="Calibri" w:cs="Calibri"/>
          <w:i/>
        </w:rPr>
        <w:t>ě</w:t>
      </w:r>
      <w:r w:rsidRPr="00D31560">
        <w:rPr>
          <w:i/>
        </w:rPr>
        <w:t>ty prvn</w:t>
      </w:r>
      <w:r w:rsidRPr="00D31560">
        <w:rPr>
          <w:rFonts w:ascii="Calibri" w:hAnsi="Calibri" w:cs="Calibri"/>
          <w:i/>
        </w:rPr>
        <w:t>í</w:t>
      </w:r>
      <w:r w:rsidRPr="00D31560">
        <w:rPr>
          <w:i/>
        </w:rPr>
        <w:t xml:space="preserve"> tohoto odstavce, leda</w:t>
      </w:r>
      <w:r w:rsidRPr="00D31560">
        <w:rPr>
          <w:rFonts w:ascii="Calibri" w:hAnsi="Calibri" w:cs="Calibri"/>
          <w:i/>
        </w:rPr>
        <w:t>ž</w:t>
      </w:r>
      <w:r w:rsidRPr="00D31560">
        <w:rPr>
          <w:i/>
        </w:rPr>
        <w:t>e kolektivn</w:t>
      </w:r>
      <w:r w:rsidRPr="00D31560">
        <w:rPr>
          <w:rFonts w:ascii="Calibri" w:hAnsi="Calibri" w:cs="Calibri"/>
          <w:i/>
        </w:rPr>
        <w:t>í</w:t>
      </w:r>
      <w:r w:rsidRPr="00D31560">
        <w:rPr>
          <w:i/>
        </w:rPr>
        <w:t xml:space="preserve"> spr</w:t>
      </w:r>
      <w:r w:rsidRPr="00D31560">
        <w:rPr>
          <w:rFonts w:ascii="Calibri" w:hAnsi="Calibri" w:cs="Calibri"/>
          <w:i/>
        </w:rPr>
        <w:t>á</w:t>
      </w:r>
      <w:r w:rsidRPr="00D31560">
        <w:rPr>
          <w:i/>
        </w:rPr>
        <w:t>vce prok</w:t>
      </w:r>
      <w:r w:rsidRPr="00D31560">
        <w:rPr>
          <w:rFonts w:ascii="Calibri" w:hAnsi="Calibri" w:cs="Calibri"/>
          <w:i/>
        </w:rPr>
        <w:t>áž</w:t>
      </w:r>
      <w:r w:rsidRPr="00D31560">
        <w:rPr>
          <w:i/>
        </w:rPr>
        <w:t xml:space="preserve">e, </w:t>
      </w:r>
      <w:r w:rsidRPr="00D31560">
        <w:rPr>
          <w:rFonts w:ascii="Calibri" w:hAnsi="Calibri" w:cs="Calibri"/>
          <w:i/>
        </w:rPr>
        <w:t>ž</w:t>
      </w:r>
      <w:r w:rsidRPr="00D31560">
        <w:rPr>
          <w:i/>
        </w:rPr>
        <w:t>e sazba v takov</w:t>
      </w:r>
      <w:r w:rsidRPr="00D31560">
        <w:rPr>
          <w:rFonts w:ascii="Calibri" w:hAnsi="Calibri" w:cs="Calibri"/>
          <w:i/>
        </w:rPr>
        <w:t>é</w:t>
      </w:r>
      <w:r w:rsidRPr="00D31560">
        <w:rPr>
          <w:i/>
        </w:rPr>
        <w:t>m sazebn</w:t>
      </w:r>
      <w:r w:rsidRPr="00D31560">
        <w:rPr>
          <w:rFonts w:ascii="Calibri" w:hAnsi="Calibri" w:cs="Calibri"/>
          <w:i/>
        </w:rPr>
        <w:t>í</w:t>
      </w:r>
      <w:r w:rsidRPr="00D31560">
        <w:rPr>
          <w:i/>
        </w:rPr>
        <w:t>ku uveden</w:t>
      </w:r>
      <w:r w:rsidRPr="00D31560">
        <w:rPr>
          <w:rFonts w:ascii="Calibri" w:hAnsi="Calibri" w:cs="Calibri"/>
          <w:i/>
        </w:rPr>
        <w:t>á</w:t>
      </w:r>
      <w:r w:rsidRPr="00D31560">
        <w:rPr>
          <w:i/>
        </w:rPr>
        <w:t xml:space="preserve"> je zcela zjevn</w:t>
      </w:r>
      <w:r w:rsidRPr="00D31560">
        <w:rPr>
          <w:rFonts w:ascii="Calibri" w:hAnsi="Calibri" w:cs="Calibri"/>
          <w:i/>
        </w:rPr>
        <w:t>ě</w:t>
      </w:r>
      <w:r w:rsidRPr="00D31560">
        <w:rPr>
          <w:i/>
        </w:rPr>
        <w:t xml:space="preserve"> nep</w:t>
      </w:r>
      <w:r w:rsidRPr="00D31560">
        <w:rPr>
          <w:rFonts w:ascii="Calibri" w:hAnsi="Calibri" w:cs="Calibri"/>
          <w:i/>
        </w:rPr>
        <w:t>ř</w:t>
      </w:r>
      <w:r w:rsidRPr="00D31560">
        <w:rPr>
          <w:i/>
        </w:rPr>
        <w:t>im</w:t>
      </w:r>
      <w:r w:rsidRPr="00D31560">
        <w:rPr>
          <w:rFonts w:ascii="Calibri" w:hAnsi="Calibri" w:cs="Calibri"/>
          <w:i/>
        </w:rPr>
        <w:t>ěř</w:t>
      </w:r>
      <w:r w:rsidRPr="00D31560">
        <w:rPr>
          <w:i/>
        </w:rPr>
        <w:t>en</w:t>
      </w:r>
      <w:r w:rsidRPr="00D31560">
        <w:rPr>
          <w:rFonts w:ascii="Calibri" w:hAnsi="Calibri" w:cs="Calibri"/>
          <w:i/>
        </w:rPr>
        <w:t>á</w:t>
      </w:r>
      <w:r w:rsidRPr="00D31560">
        <w:rPr>
          <w:i/>
        </w:rPr>
        <w:t xml:space="preserve"> k </w:t>
      </w:r>
      <w:r w:rsidRPr="00D31560">
        <w:rPr>
          <w:rFonts w:ascii="Calibri" w:hAnsi="Calibri" w:cs="Calibri"/>
          <w:i/>
        </w:rPr>
        <w:t>úč</w:t>
      </w:r>
      <w:r w:rsidRPr="00D31560">
        <w:rPr>
          <w:i/>
        </w:rPr>
        <w:t>elu, zp</w:t>
      </w:r>
      <w:r w:rsidRPr="00D31560">
        <w:rPr>
          <w:rFonts w:ascii="Calibri" w:hAnsi="Calibri" w:cs="Calibri"/>
          <w:i/>
        </w:rPr>
        <w:t>ů</w:t>
      </w:r>
      <w:r w:rsidRPr="00D31560">
        <w:rPr>
          <w:i/>
        </w:rPr>
        <w:t>sobu, rozsahu a okolnostem u</w:t>
      </w:r>
      <w:r w:rsidRPr="00D31560">
        <w:rPr>
          <w:rFonts w:ascii="Calibri" w:hAnsi="Calibri" w:cs="Calibri"/>
          <w:i/>
        </w:rPr>
        <w:t>ž</w:t>
      </w:r>
      <w:r w:rsidRPr="00D31560">
        <w:rPr>
          <w:i/>
        </w:rPr>
        <w:t>it</w:t>
      </w:r>
      <w:r w:rsidRPr="00D31560">
        <w:rPr>
          <w:rFonts w:ascii="Calibri" w:hAnsi="Calibri" w:cs="Calibri"/>
          <w:i/>
        </w:rPr>
        <w:t>í</w:t>
      </w:r>
      <w:r w:rsidRPr="00D31560">
        <w:rPr>
          <w:i/>
        </w:rPr>
        <w:t xml:space="preserve"> předmětu ochrany.</w:t>
      </w:r>
    </w:p>
    <w:p w:rsidR="00F5467B" w:rsidRDefault="00F5467B" w:rsidP="00796D5F">
      <w:pPr>
        <w:spacing w:after="0"/>
        <w:jc w:val="both"/>
        <w:rPr>
          <w:i/>
        </w:rPr>
      </w:pPr>
    </w:p>
    <w:bookmarkEnd w:id="0"/>
    <w:p w:rsidR="00796D5F" w:rsidRDefault="00796D5F" w:rsidP="00796D5F">
      <w:pPr>
        <w:spacing w:after="0"/>
        <w:jc w:val="both"/>
        <w:rPr>
          <w:i/>
        </w:rPr>
      </w:pPr>
    </w:p>
    <w:p w:rsidR="00796D5F" w:rsidRDefault="00796D5F" w:rsidP="00796D5F">
      <w:pPr>
        <w:spacing w:after="0"/>
        <w:jc w:val="both"/>
        <w:rPr>
          <w:i/>
        </w:rPr>
      </w:pPr>
    </w:p>
    <w:p w:rsidR="00797684" w:rsidRDefault="00797684" w:rsidP="00796D5F">
      <w:pPr>
        <w:spacing w:after="0"/>
        <w:jc w:val="both"/>
        <w:rPr>
          <w:b/>
        </w:rPr>
      </w:pPr>
      <w:r w:rsidRPr="00530470">
        <w:rPr>
          <w:b/>
        </w:rPr>
        <w:lastRenderedPageBreak/>
        <w:t>Vývoj sazeb OSA u reprodukované hudby za období 2001 – 2017 (zdroj – Sazebníky OSA)</w:t>
      </w:r>
    </w:p>
    <w:p w:rsidR="00796D5F" w:rsidRDefault="00796D5F" w:rsidP="00796D5F">
      <w:pPr>
        <w:spacing w:after="0"/>
        <w:jc w:val="both"/>
        <w:rPr>
          <w:b/>
        </w:rPr>
      </w:pPr>
    </w:p>
    <w:p w:rsidR="00F5467B" w:rsidRDefault="00F5467B" w:rsidP="00796D5F">
      <w:pPr>
        <w:spacing w:after="0"/>
        <w:jc w:val="both"/>
      </w:pPr>
      <w:r>
        <w:rPr>
          <w:noProof/>
          <w:lang w:eastAsia="cs-CZ"/>
        </w:rPr>
        <w:drawing>
          <wp:inline distT="0" distB="0" distL="0" distR="0" wp14:anchorId="37E34DF4" wp14:editId="263263DB">
            <wp:extent cx="4572000" cy="2743200"/>
            <wp:effectExtent l="0" t="0" r="0" b="0"/>
            <wp:docPr id="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5467B" w:rsidRDefault="00F5467B" w:rsidP="00796D5F">
      <w:pPr>
        <w:spacing w:after="0"/>
        <w:jc w:val="both"/>
      </w:pPr>
      <w:r>
        <w:t xml:space="preserve">Vývoj od r. </w:t>
      </w:r>
      <w:r w:rsidRPr="005E69A5">
        <w:rPr>
          <w:b/>
        </w:rPr>
        <w:t xml:space="preserve">2001 při sazbě 90 Kč až do r. 2017 – 447,36 Kč </w:t>
      </w:r>
    </w:p>
    <w:p w:rsidR="005E69A5" w:rsidRDefault="005E69A5" w:rsidP="00796D5F">
      <w:pPr>
        <w:spacing w:after="0"/>
        <w:jc w:val="both"/>
      </w:pPr>
    </w:p>
    <w:p w:rsidR="00F5467B" w:rsidRDefault="00F5467B" w:rsidP="00796D5F">
      <w:pPr>
        <w:spacing w:after="0"/>
        <w:jc w:val="both"/>
      </w:pPr>
      <w:r>
        <w:rPr>
          <w:noProof/>
          <w:lang w:eastAsia="cs-CZ"/>
        </w:rPr>
        <w:drawing>
          <wp:inline distT="0" distB="0" distL="0" distR="0" wp14:anchorId="6B87F7B3" wp14:editId="5A368430">
            <wp:extent cx="4572000" cy="2743200"/>
            <wp:effectExtent l="0" t="0" r="0" b="0"/>
            <wp:docPr id="2" name="Graf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5467B" w:rsidRDefault="00F5467B" w:rsidP="00796D5F">
      <w:pPr>
        <w:spacing w:after="0"/>
        <w:jc w:val="both"/>
      </w:pPr>
      <w:r>
        <w:t>Vývoj od r.</w:t>
      </w:r>
      <w:r w:rsidRPr="005E69A5">
        <w:rPr>
          <w:b/>
        </w:rPr>
        <w:t xml:space="preserve"> 2001 při sazbě 50 Kč až do r. 2017 – 279 Kč</w:t>
      </w:r>
    </w:p>
    <w:p w:rsidR="005E69A5" w:rsidRDefault="005E69A5" w:rsidP="00796D5F">
      <w:pPr>
        <w:spacing w:after="0"/>
        <w:jc w:val="both"/>
        <w:rPr>
          <w:b/>
          <w:sz w:val="28"/>
        </w:rPr>
      </w:pPr>
    </w:p>
    <w:p w:rsidR="00F5467B" w:rsidRPr="00530470" w:rsidRDefault="00F5467B" w:rsidP="00796D5F">
      <w:pPr>
        <w:spacing w:after="0"/>
        <w:jc w:val="both"/>
        <w:rPr>
          <w:b/>
          <w:sz w:val="28"/>
        </w:rPr>
      </w:pPr>
      <w:r w:rsidRPr="00530470">
        <w:rPr>
          <w:b/>
          <w:sz w:val="28"/>
        </w:rPr>
        <w:t>Vývoj inflace 2005 - 201</w:t>
      </w:r>
      <w:r>
        <w:rPr>
          <w:b/>
          <w:sz w:val="28"/>
        </w:rPr>
        <w:t>6</w:t>
      </w:r>
    </w:p>
    <w:p w:rsidR="00F5467B" w:rsidRDefault="00F5467B" w:rsidP="00796D5F">
      <w:pPr>
        <w:spacing w:after="0"/>
        <w:jc w:val="both"/>
      </w:pPr>
      <w:r>
        <w:t xml:space="preserve">Inflace v období 2005 až 2016 dokládá, že růst cen byl velmi pozvolný a souhrn inflace v tomto 10 letém období dosáhl </w:t>
      </w:r>
      <w:r w:rsidRPr="00530470">
        <w:rPr>
          <w:b/>
        </w:rPr>
        <w:t>2</w:t>
      </w:r>
      <w:r>
        <w:rPr>
          <w:b/>
        </w:rPr>
        <w:t>4</w:t>
      </w:r>
      <w:r w:rsidRPr="00530470">
        <w:rPr>
          <w:b/>
        </w:rPr>
        <w:t>%,</w:t>
      </w:r>
      <w:r>
        <w:t xml:space="preserve"> což stojí v příkrém kontrastu s nárůstem téměř 500% u TV přístrojů a 550% u rádii u kolektivního správce OSA.</w:t>
      </w:r>
    </w:p>
    <w:p w:rsidR="00F5467B" w:rsidRDefault="00F5467B" w:rsidP="00796D5F">
      <w:pPr>
        <w:spacing w:after="0"/>
        <w:jc w:val="both"/>
      </w:pPr>
      <w:r>
        <w:t xml:space="preserve">Z vývoje za poslední tři roky dle čl. II b. 8 zákona č. 102/2017 Sb. vyplývá, že </w:t>
      </w:r>
      <w:r w:rsidRPr="005E69A5">
        <w:rPr>
          <w:b/>
        </w:rPr>
        <w:t>bez souhlasu ÚOHS</w:t>
      </w:r>
      <w:r>
        <w:t xml:space="preserve"> </w:t>
      </w:r>
      <w:r w:rsidR="005E69A5">
        <w:t xml:space="preserve">je </w:t>
      </w:r>
      <w:r>
        <w:t xml:space="preserve">akceptovatelná výše meziročního zvýšení sazeb pro období po </w:t>
      </w:r>
      <w:proofErr w:type="gramStart"/>
      <w:r>
        <w:t>20.4.2017</w:t>
      </w:r>
      <w:proofErr w:type="gramEnd"/>
      <w:r>
        <w:t xml:space="preserve"> </w:t>
      </w:r>
      <w:r w:rsidR="005E69A5">
        <w:t xml:space="preserve">max. </w:t>
      </w:r>
      <w:r>
        <w:t xml:space="preserve">4,2% </w:t>
      </w:r>
      <w:r w:rsidR="005E69A5">
        <w:t>nárůst.</w:t>
      </w:r>
      <w:r>
        <w:t xml:space="preserve"> </w:t>
      </w:r>
    </w:p>
    <w:p w:rsidR="005E69A5" w:rsidRDefault="005E69A5" w:rsidP="00796D5F">
      <w:pPr>
        <w:spacing w:after="0"/>
        <w:jc w:val="both"/>
      </w:pPr>
      <w:r>
        <w:t xml:space="preserve">OSA přitom na rok 2017 zvýšila sazby až o 50% (v závislosti na druhu užití a velikosti obce) – viz zde </w:t>
      </w:r>
      <w:hyperlink r:id="rId11" w:history="1">
        <w:r w:rsidRPr="00067A47">
          <w:rPr>
            <w:rStyle w:val="Hypertextovodkaz"/>
          </w:rPr>
          <w:t>http://www.osa.cz/dolni-menu/ke-sta%C5%BEen%C3%AD/sazebnik-osa.aspx</w:t>
        </w:r>
      </w:hyperlink>
    </w:p>
    <w:p w:rsidR="00796D5F" w:rsidRDefault="00796D5F" w:rsidP="00796D5F">
      <w:pPr>
        <w:spacing w:after="0"/>
        <w:jc w:val="both"/>
        <w:rPr>
          <w:rFonts w:ascii="Tahoma" w:eastAsia="Times New Roman" w:hAnsi="Tahoma" w:cs="Tahoma"/>
          <w:b/>
          <w:color w:val="333333"/>
          <w:sz w:val="20"/>
          <w:szCs w:val="20"/>
          <w:lang w:eastAsia="cs-CZ"/>
        </w:rPr>
      </w:pPr>
    </w:p>
    <w:p w:rsidR="00796D5F" w:rsidRDefault="00796D5F" w:rsidP="00796D5F">
      <w:pPr>
        <w:spacing w:after="0"/>
        <w:jc w:val="both"/>
        <w:rPr>
          <w:rFonts w:ascii="Tahoma" w:eastAsia="Times New Roman" w:hAnsi="Tahoma" w:cs="Tahoma"/>
          <w:b/>
          <w:color w:val="333333"/>
          <w:sz w:val="20"/>
          <w:szCs w:val="20"/>
          <w:lang w:eastAsia="cs-CZ"/>
        </w:rPr>
      </w:pPr>
    </w:p>
    <w:p w:rsidR="00796D5F" w:rsidRDefault="00796D5F" w:rsidP="00796D5F">
      <w:pPr>
        <w:spacing w:after="0"/>
        <w:jc w:val="both"/>
        <w:rPr>
          <w:rFonts w:ascii="Tahoma" w:eastAsia="Times New Roman" w:hAnsi="Tahoma" w:cs="Tahoma"/>
          <w:b/>
          <w:color w:val="333333"/>
          <w:sz w:val="20"/>
          <w:szCs w:val="20"/>
          <w:lang w:eastAsia="cs-CZ"/>
        </w:rPr>
      </w:pPr>
    </w:p>
    <w:p w:rsidR="00796D5F" w:rsidRDefault="00796D5F" w:rsidP="00796D5F">
      <w:pPr>
        <w:spacing w:after="0"/>
        <w:jc w:val="both"/>
        <w:rPr>
          <w:rFonts w:ascii="Tahoma" w:eastAsia="Times New Roman" w:hAnsi="Tahoma" w:cs="Tahoma"/>
          <w:b/>
          <w:color w:val="333333"/>
          <w:sz w:val="20"/>
          <w:szCs w:val="20"/>
          <w:lang w:eastAsia="cs-CZ"/>
        </w:rPr>
      </w:pPr>
    </w:p>
    <w:p w:rsidR="00796D5F" w:rsidRDefault="00796D5F" w:rsidP="00796D5F">
      <w:pPr>
        <w:spacing w:after="0"/>
        <w:jc w:val="both"/>
        <w:rPr>
          <w:rFonts w:ascii="Tahoma" w:eastAsia="Times New Roman" w:hAnsi="Tahoma" w:cs="Tahoma"/>
          <w:b/>
          <w:color w:val="333333"/>
          <w:sz w:val="20"/>
          <w:szCs w:val="20"/>
          <w:lang w:eastAsia="cs-CZ"/>
        </w:rPr>
      </w:pPr>
    </w:p>
    <w:p w:rsidR="00796D5F" w:rsidRDefault="00796D5F" w:rsidP="00796D5F">
      <w:pPr>
        <w:spacing w:after="0"/>
        <w:jc w:val="both"/>
        <w:rPr>
          <w:rFonts w:ascii="Tahoma" w:eastAsia="Times New Roman" w:hAnsi="Tahoma" w:cs="Tahoma"/>
          <w:b/>
          <w:color w:val="333333"/>
          <w:sz w:val="20"/>
          <w:szCs w:val="20"/>
          <w:lang w:eastAsia="cs-CZ"/>
        </w:rPr>
      </w:pPr>
    </w:p>
    <w:p w:rsidR="00F5467B" w:rsidRPr="005E69A5" w:rsidRDefault="00F5467B" w:rsidP="00796D5F">
      <w:pPr>
        <w:spacing w:after="0"/>
        <w:jc w:val="both"/>
        <w:rPr>
          <w:rFonts w:ascii="Tahoma" w:eastAsia="Times New Roman" w:hAnsi="Tahoma" w:cs="Tahoma"/>
          <w:b/>
          <w:color w:val="333333"/>
          <w:sz w:val="20"/>
          <w:szCs w:val="20"/>
          <w:lang w:eastAsia="cs-CZ"/>
        </w:rPr>
      </w:pPr>
      <w:r w:rsidRPr="005E69A5">
        <w:rPr>
          <w:rFonts w:ascii="Tahoma" w:eastAsia="Times New Roman" w:hAnsi="Tahoma" w:cs="Tahoma"/>
          <w:b/>
          <w:color w:val="333333"/>
          <w:sz w:val="20"/>
          <w:szCs w:val="20"/>
          <w:lang w:eastAsia="cs-CZ"/>
        </w:rPr>
        <w:t>Vývoj inflace (měsíčně) od r. 2013 – 2017 – Zdroj: ČSÚ</w:t>
      </w:r>
    </w:p>
    <w:p w:rsidR="00F5467B" w:rsidRDefault="00F5467B" w:rsidP="00796D5F">
      <w:pPr>
        <w:spacing w:after="0"/>
        <w:jc w:val="both"/>
        <w:rPr>
          <w:i/>
        </w:rPr>
      </w:pPr>
      <w:r>
        <w:rPr>
          <w:rFonts w:ascii="Arial" w:hAnsi="Arial" w:cs="Arial"/>
          <w:noProof/>
          <w:color w:val="660099"/>
          <w:bdr w:val="none" w:sz="0" w:space="0" w:color="auto" w:frame="1"/>
          <w:shd w:val="clear" w:color="auto" w:fill="222222"/>
          <w:lang w:eastAsia="cs-CZ"/>
        </w:rPr>
        <w:drawing>
          <wp:inline distT="0" distB="0" distL="0" distR="0" wp14:anchorId="2D54D351" wp14:editId="2A3BA6F7">
            <wp:extent cx="5760720" cy="1388885"/>
            <wp:effectExtent l="0" t="0" r="0" b="1905"/>
            <wp:docPr id="5" name="Obrázek 5" descr="Image result for vývoj inflace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vývoj inflace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88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467B">
        <w:rPr>
          <w:rFonts w:ascii="Tahoma" w:eastAsia="Times New Roman" w:hAnsi="Tahoma" w:cs="Tahoma"/>
          <w:color w:val="333333"/>
          <w:sz w:val="20"/>
          <w:szCs w:val="20"/>
          <w:lang w:eastAsia="cs-CZ"/>
        </w:rPr>
        <w:br w:type="textWrapping" w:clear="all"/>
      </w:r>
      <w:r w:rsidRPr="00F5467B">
        <w:rPr>
          <w:i/>
        </w:rPr>
        <w:t>https://www.czso.cz/csu/xe/mira-inflace-v-cr-v-lednu-2017</w:t>
      </w:r>
    </w:p>
    <w:p w:rsidR="00F5467B" w:rsidRPr="00F5467B" w:rsidRDefault="00F5467B" w:rsidP="00796D5F">
      <w:pPr>
        <w:spacing w:after="0"/>
        <w:jc w:val="both"/>
        <w:rPr>
          <w:i/>
        </w:rPr>
      </w:pPr>
    </w:p>
    <w:tbl>
      <w:tblPr>
        <w:tblW w:w="11027" w:type="dxa"/>
        <w:tblBorders>
          <w:top w:val="single" w:sz="6" w:space="0" w:color="ECECFF"/>
          <w:left w:val="single" w:sz="6" w:space="0" w:color="ECECFF"/>
          <w:bottom w:val="single" w:sz="6" w:space="0" w:color="ECECFF"/>
          <w:right w:val="single" w:sz="6" w:space="0" w:color="ECEC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"/>
        <w:gridCol w:w="650"/>
        <w:gridCol w:w="650"/>
        <w:gridCol w:w="650"/>
        <w:gridCol w:w="650"/>
        <w:gridCol w:w="650"/>
        <w:gridCol w:w="650"/>
        <w:gridCol w:w="650"/>
        <w:gridCol w:w="650"/>
        <w:gridCol w:w="650"/>
        <w:gridCol w:w="650"/>
        <w:gridCol w:w="650"/>
        <w:gridCol w:w="650"/>
        <w:gridCol w:w="650"/>
        <w:gridCol w:w="650"/>
        <w:gridCol w:w="963"/>
      </w:tblGrid>
      <w:tr w:rsidR="00F5467B" w:rsidRPr="00F5467B" w:rsidTr="00F5467B">
        <w:trPr>
          <w:trHeight w:val="465"/>
          <w:tblHeader/>
        </w:trPr>
        <w:tc>
          <w:tcPr>
            <w:tcW w:w="386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5467B" w:rsidRPr="00F5467B" w:rsidRDefault="00F5467B" w:rsidP="00796D5F">
            <w:pPr>
              <w:spacing w:after="0" w:line="465" w:lineRule="atLeast"/>
              <w:ind w:left="-142"/>
              <w:jc w:val="both"/>
              <w:rPr>
                <w:rFonts w:ascii="Tahoma" w:eastAsia="Times New Roman" w:hAnsi="Tahoma" w:cs="Tahoma"/>
                <w:b/>
                <w:bCs/>
                <w:color w:val="565656"/>
                <w:sz w:val="16"/>
                <w:szCs w:val="19"/>
                <w:lang w:eastAsia="cs-CZ"/>
              </w:rPr>
            </w:pPr>
            <w:r w:rsidRPr="00F5467B">
              <w:rPr>
                <w:rFonts w:ascii="Tahoma" w:eastAsia="Times New Roman" w:hAnsi="Tahoma" w:cs="Tahoma"/>
                <w:b/>
                <w:bCs/>
                <w:color w:val="565656"/>
                <w:sz w:val="16"/>
                <w:szCs w:val="19"/>
                <w:bdr w:val="none" w:sz="0" w:space="0" w:color="auto" w:frame="1"/>
                <w:lang w:eastAsia="cs-CZ"/>
              </w:rPr>
              <w:t>Rok</w:t>
            </w:r>
          </w:p>
        </w:tc>
      </w:tr>
      <w:tr w:rsidR="00F5467B" w:rsidRPr="00F5467B" w:rsidTr="00F5467B">
        <w:trPr>
          <w:trHeight w:val="465"/>
          <w:tblHeader/>
        </w:trPr>
        <w:tc>
          <w:tcPr>
            <w:tcW w:w="253" w:type="dxa"/>
            <w:tcBorders>
              <w:top w:val="nil"/>
              <w:left w:val="nil"/>
              <w:bottom w:val="nil"/>
              <w:right w:val="single" w:sz="6" w:space="0" w:color="F2F2F2"/>
            </w:tcBorders>
            <w:shd w:val="clear" w:color="auto" w:fill="F7F7F7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5467B" w:rsidRPr="00F5467B" w:rsidRDefault="00F5467B" w:rsidP="00796D5F">
            <w:pPr>
              <w:spacing w:after="0" w:line="465" w:lineRule="atLeast"/>
              <w:ind w:left="-142" w:firstLine="37"/>
              <w:jc w:val="both"/>
              <w:rPr>
                <w:rFonts w:ascii="Tahoma" w:eastAsia="Times New Roman" w:hAnsi="Tahoma" w:cs="Tahoma"/>
                <w:b/>
                <w:bCs/>
                <w:color w:val="565656"/>
                <w:sz w:val="16"/>
                <w:szCs w:val="19"/>
                <w:lang w:eastAsia="cs-CZ"/>
              </w:rPr>
            </w:pPr>
            <w:r w:rsidRPr="00F5467B">
              <w:rPr>
                <w:rFonts w:ascii="Tahoma" w:eastAsia="Times New Roman" w:hAnsi="Tahoma" w:cs="Tahoma"/>
                <w:b/>
                <w:bCs/>
                <w:color w:val="565656"/>
                <w:sz w:val="16"/>
                <w:szCs w:val="19"/>
                <w:bdr w:val="none" w:sz="0" w:space="0" w:color="auto" w:frame="1"/>
                <w:lang w:eastAsia="cs-CZ"/>
              </w:rPr>
              <w:t>2001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6" w:space="0" w:color="F2F2F2"/>
            </w:tcBorders>
            <w:shd w:val="clear" w:color="auto" w:fill="F7F7F7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5467B" w:rsidRPr="00F5467B" w:rsidRDefault="00F5467B" w:rsidP="00796D5F">
            <w:pPr>
              <w:spacing w:after="0" w:line="465" w:lineRule="atLeast"/>
              <w:ind w:left="-142"/>
              <w:jc w:val="both"/>
              <w:rPr>
                <w:rFonts w:ascii="Tahoma" w:eastAsia="Times New Roman" w:hAnsi="Tahoma" w:cs="Tahoma"/>
                <w:b/>
                <w:bCs/>
                <w:color w:val="565656"/>
                <w:sz w:val="16"/>
                <w:szCs w:val="19"/>
                <w:lang w:eastAsia="cs-CZ"/>
              </w:rPr>
            </w:pPr>
            <w:r w:rsidRPr="00F5467B">
              <w:rPr>
                <w:rFonts w:ascii="Tahoma" w:eastAsia="Times New Roman" w:hAnsi="Tahoma" w:cs="Tahoma"/>
                <w:b/>
                <w:bCs/>
                <w:color w:val="565656"/>
                <w:sz w:val="16"/>
                <w:szCs w:val="19"/>
                <w:bdr w:val="none" w:sz="0" w:space="0" w:color="auto" w:frame="1"/>
                <w:lang w:eastAsia="cs-CZ"/>
              </w:rPr>
              <w:t>02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6" w:space="0" w:color="F2F2F2"/>
            </w:tcBorders>
            <w:shd w:val="clear" w:color="auto" w:fill="F7F7F7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5467B" w:rsidRPr="00F5467B" w:rsidRDefault="00F5467B" w:rsidP="00796D5F">
            <w:pPr>
              <w:spacing w:after="0" w:line="465" w:lineRule="atLeast"/>
              <w:ind w:left="-142"/>
              <w:jc w:val="both"/>
              <w:rPr>
                <w:rFonts w:ascii="Tahoma" w:eastAsia="Times New Roman" w:hAnsi="Tahoma" w:cs="Tahoma"/>
                <w:b/>
                <w:bCs/>
                <w:color w:val="565656"/>
                <w:sz w:val="16"/>
                <w:szCs w:val="19"/>
                <w:lang w:eastAsia="cs-CZ"/>
              </w:rPr>
            </w:pPr>
            <w:r w:rsidRPr="00F5467B">
              <w:rPr>
                <w:rFonts w:ascii="Tahoma" w:eastAsia="Times New Roman" w:hAnsi="Tahoma" w:cs="Tahoma"/>
                <w:b/>
                <w:bCs/>
                <w:color w:val="565656"/>
                <w:sz w:val="16"/>
                <w:szCs w:val="19"/>
                <w:bdr w:val="none" w:sz="0" w:space="0" w:color="auto" w:frame="1"/>
                <w:lang w:eastAsia="cs-CZ"/>
              </w:rPr>
              <w:t>03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single" w:sz="6" w:space="0" w:color="F2F2F2"/>
            </w:tcBorders>
            <w:shd w:val="clear" w:color="auto" w:fill="F7F7F7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5467B" w:rsidRPr="00F5467B" w:rsidRDefault="00F5467B" w:rsidP="00796D5F">
            <w:pPr>
              <w:spacing w:after="0" w:line="465" w:lineRule="atLeast"/>
              <w:ind w:left="-142"/>
              <w:jc w:val="both"/>
              <w:rPr>
                <w:rFonts w:ascii="Tahoma" w:eastAsia="Times New Roman" w:hAnsi="Tahoma" w:cs="Tahoma"/>
                <w:b/>
                <w:bCs/>
                <w:color w:val="565656"/>
                <w:sz w:val="16"/>
                <w:szCs w:val="19"/>
                <w:lang w:eastAsia="cs-CZ"/>
              </w:rPr>
            </w:pPr>
            <w:r w:rsidRPr="00F5467B">
              <w:rPr>
                <w:rFonts w:ascii="Tahoma" w:eastAsia="Times New Roman" w:hAnsi="Tahoma" w:cs="Tahoma"/>
                <w:b/>
                <w:bCs/>
                <w:color w:val="565656"/>
                <w:sz w:val="16"/>
                <w:szCs w:val="19"/>
                <w:bdr w:val="none" w:sz="0" w:space="0" w:color="auto" w:frame="1"/>
                <w:lang w:eastAsia="cs-CZ"/>
              </w:rPr>
              <w:t>04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6" w:space="0" w:color="F2F2F2"/>
            </w:tcBorders>
            <w:shd w:val="clear" w:color="auto" w:fill="F7F7F7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5467B" w:rsidRPr="00F5467B" w:rsidRDefault="00F5467B" w:rsidP="00796D5F">
            <w:pPr>
              <w:spacing w:after="0" w:line="465" w:lineRule="atLeast"/>
              <w:ind w:left="-142"/>
              <w:jc w:val="both"/>
              <w:rPr>
                <w:rFonts w:ascii="Tahoma" w:eastAsia="Times New Roman" w:hAnsi="Tahoma" w:cs="Tahoma"/>
                <w:b/>
                <w:bCs/>
                <w:color w:val="565656"/>
                <w:sz w:val="16"/>
                <w:szCs w:val="19"/>
                <w:lang w:eastAsia="cs-CZ"/>
              </w:rPr>
            </w:pPr>
            <w:r w:rsidRPr="00F5467B">
              <w:rPr>
                <w:rFonts w:ascii="Tahoma" w:eastAsia="Times New Roman" w:hAnsi="Tahoma" w:cs="Tahoma"/>
                <w:b/>
                <w:bCs/>
                <w:color w:val="565656"/>
                <w:sz w:val="16"/>
                <w:szCs w:val="19"/>
                <w:bdr w:val="none" w:sz="0" w:space="0" w:color="auto" w:frame="1"/>
                <w:lang w:eastAsia="cs-CZ"/>
              </w:rPr>
              <w:t>05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single" w:sz="6" w:space="0" w:color="F2F2F2"/>
            </w:tcBorders>
            <w:shd w:val="clear" w:color="auto" w:fill="F7F7F7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5467B" w:rsidRPr="00F5467B" w:rsidRDefault="00F5467B" w:rsidP="00796D5F">
            <w:pPr>
              <w:spacing w:after="0" w:line="465" w:lineRule="atLeast"/>
              <w:ind w:left="-142"/>
              <w:jc w:val="both"/>
              <w:rPr>
                <w:rFonts w:ascii="Tahoma" w:eastAsia="Times New Roman" w:hAnsi="Tahoma" w:cs="Tahoma"/>
                <w:b/>
                <w:bCs/>
                <w:color w:val="565656"/>
                <w:sz w:val="16"/>
                <w:szCs w:val="19"/>
                <w:lang w:eastAsia="cs-CZ"/>
              </w:rPr>
            </w:pPr>
            <w:r w:rsidRPr="00F5467B">
              <w:rPr>
                <w:rFonts w:ascii="Tahoma" w:eastAsia="Times New Roman" w:hAnsi="Tahoma" w:cs="Tahoma"/>
                <w:b/>
                <w:bCs/>
                <w:color w:val="565656"/>
                <w:sz w:val="16"/>
                <w:szCs w:val="19"/>
                <w:bdr w:val="none" w:sz="0" w:space="0" w:color="auto" w:frame="1"/>
                <w:lang w:eastAsia="cs-CZ"/>
              </w:rPr>
              <w:t>06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single" w:sz="6" w:space="0" w:color="F2F2F2"/>
            </w:tcBorders>
            <w:shd w:val="clear" w:color="auto" w:fill="F7F7F7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5467B" w:rsidRPr="00F5467B" w:rsidRDefault="00F5467B" w:rsidP="00796D5F">
            <w:pPr>
              <w:spacing w:after="0" w:line="465" w:lineRule="atLeast"/>
              <w:ind w:left="-142"/>
              <w:jc w:val="both"/>
              <w:rPr>
                <w:rFonts w:ascii="Tahoma" w:eastAsia="Times New Roman" w:hAnsi="Tahoma" w:cs="Tahoma"/>
                <w:b/>
                <w:bCs/>
                <w:color w:val="565656"/>
                <w:sz w:val="16"/>
                <w:szCs w:val="19"/>
                <w:lang w:eastAsia="cs-CZ"/>
              </w:rPr>
            </w:pPr>
            <w:r w:rsidRPr="00F5467B">
              <w:rPr>
                <w:rFonts w:ascii="Tahoma" w:eastAsia="Times New Roman" w:hAnsi="Tahoma" w:cs="Tahoma"/>
                <w:b/>
                <w:bCs/>
                <w:color w:val="565656"/>
                <w:sz w:val="16"/>
                <w:szCs w:val="19"/>
                <w:bdr w:val="none" w:sz="0" w:space="0" w:color="auto" w:frame="1"/>
                <w:lang w:eastAsia="cs-CZ"/>
              </w:rPr>
              <w:t>07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single" w:sz="6" w:space="0" w:color="F2F2F2"/>
            </w:tcBorders>
            <w:shd w:val="clear" w:color="auto" w:fill="F7F7F7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5467B" w:rsidRPr="00F5467B" w:rsidRDefault="00F5467B" w:rsidP="00796D5F">
            <w:pPr>
              <w:spacing w:after="0" w:line="465" w:lineRule="atLeast"/>
              <w:ind w:left="-142"/>
              <w:jc w:val="both"/>
              <w:rPr>
                <w:rFonts w:ascii="Tahoma" w:eastAsia="Times New Roman" w:hAnsi="Tahoma" w:cs="Tahoma"/>
                <w:b/>
                <w:bCs/>
                <w:color w:val="565656"/>
                <w:sz w:val="16"/>
                <w:szCs w:val="19"/>
                <w:lang w:eastAsia="cs-CZ"/>
              </w:rPr>
            </w:pPr>
            <w:r w:rsidRPr="00F5467B">
              <w:rPr>
                <w:rFonts w:ascii="Tahoma" w:eastAsia="Times New Roman" w:hAnsi="Tahoma" w:cs="Tahoma"/>
                <w:b/>
                <w:bCs/>
                <w:color w:val="565656"/>
                <w:sz w:val="16"/>
                <w:szCs w:val="19"/>
                <w:bdr w:val="none" w:sz="0" w:space="0" w:color="auto" w:frame="1"/>
                <w:lang w:eastAsia="cs-CZ"/>
              </w:rPr>
              <w:t>08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single" w:sz="6" w:space="0" w:color="F2F2F2"/>
            </w:tcBorders>
            <w:shd w:val="clear" w:color="auto" w:fill="F7F7F7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5467B" w:rsidRPr="00F5467B" w:rsidRDefault="00F5467B" w:rsidP="00796D5F">
            <w:pPr>
              <w:spacing w:after="0" w:line="465" w:lineRule="atLeast"/>
              <w:ind w:left="-142"/>
              <w:jc w:val="both"/>
              <w:rPr>
                <w:rFonts w:ascii="Tahoma" w:eastAsia="Times New Roman" w:hAnsi="Tahoma" w:cs="Tahoma"/>
                <w:b/>
                <w:bCs/>
                <w:color w:val="565656"/>
                <w:sz w:val="16"/>
                <w:szCs w:val="19"/>
                <w:lang w:eastAsia="cs-CZ"/>
              </w:rPr>
            </w:pPr>
            <w:r w:rsidRPr="00F5467B">
              <w:rPr>
                <w:rFonts w:ascii="Tahoma" w:eastAsia="Times New Roman" w:hAnsi="Tahoma" w:cs="Tahoma"/>
                <w:b/>
                <w:bCs/>
                <w:color w:val="565656"/>
                <w:sz w:val="16"/>
                <w:szCs w:val="19"/>
                <w:bdr w:val="none" w:sz="0" w:space="0" w:color="auto" w:frame="1"/>
                <w:lang w:eastAsia="cs-CZ"/>
              </w:rPr>
              <w:t>09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single" w:sz="6" w:space="0" w:color="F2F2F2"/>
            </w:tcBorders>
            <w:shd w:val="clear" w:color="auto" w:fill="F7F7F7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5467B" w:rsidRPr="00F5467B" w:rsidRDefault="00F5467B" w:rsidP="00796D5F">
            <w:pPr>
              <w:spacing w:after="0" w:line="465" w:lineRule="atLeast"/>
              <w:ind w:left="-142"/>
              <w:jc w:val="both"/>
              <w:rPr>
                <w:rFonts w:ascii="Tahoma" w:eastAsia="Times New Roman" w:hAnsi="Tahoma" w:cs="Tahoma"/>
                <w:b/>
                <w:bCs/>
                <w:color w:val="565656"/>
                <w:sz w:val="16"/>
                <w:szCs w:val="19"/>
                <w:lang w:eastAsia="cs-CZ"/>
              </w:rPr>
            </w:pPr>
            <w:r w:rsidRPr="00F5467B">
              <w:rPr>
                <w:rFonts w:ascii="Tahoma" w:eastAsia="Times New Roman" w:hAnsi="Tahoma" w:cs="Tahoma"/>
                <w:b/>
                <w:bCs/>
                <w:color w:val="565656"/>
                <w:sz w:val="16"/>
                <w:szCs w:val="19"/>
                <w:bdr w:val="none" w:sz="0" w:space="0" w:color="auto" w:frame="1"/>
                <w:lang w:eastAsia="cs-CZ"/>
              </w:rPr>
              <w:t>10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single" w:sz="6" w:space="0" w:color="F2F2F2"/>
            </w:tcBorders>
            <w:shd w:val="clear" w:color="auto" w:fill="F7F7F7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5467B" w:rsidRPr="00F5467B" w:rsidRDefault="00F5467B" w:rsidP="00796D5F">
            <w:pPr>
              <w:spacing w:after="0" w:line="465" w:lineRule="atLeast"/>
              <w:ind w:left="-142"/>
              <w:jc w:val="both"/>
              <w:rPr>
                <w:rFonts w:ascii="Tahoma" w:eastAsia="Times New Roman" w:hAnsi="Tahoma" w:cs="Tahoma"/>
                <w:b/>
                <w:bCs/>
                <w:color w:val="565656"/>
                <w:sz w:val="16"/>
                <w:szCs w:val="19"/>
                <w:lang w:eastAsia="cs-CZ"/>
              </w:rPr>
            </w:pPr>
            <w:r w:rsidRPr="00F5467B">
              <w:rPr>
                <w:rFonts w:ascii="Tahoma" w:eastAsia="Times New Roman" w:hAnsi="Tahoma" w:cs="Tahoma"/>
                <w:b/>
                <w:bCs/>
                <w:color w:val="565656"/>
                <w:sz w:val="16"/>
                <w:szCs w:val="19"/>
                <w:bdr w:val="none" w:sz="0" w:space="0" w:color="auto" w:frame="1"/>
                <w:lang w:eastAsia="cs-CZ"/>
              </w:rPr>
              <w:t>11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single" w:sz="6" w:space="0" w:color="F2F2F2"/>
            </w:tcBorders>
            <w:shd w:val="clear" w:color="auto" w:fill="F7F7F7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5467B" w:rsidRPr="00F5467B" w:rsidRDefault="00F5467B" w:rsidP="00796D5F">
            <w:pPr>
              <w:spacing w:after="0" w:line="465" w:lineRule="atLeast"/>
              <w:ind w:left="-142"/>
              <w:jc w:val="both"/>
              <w:rPr>
                <w:rFonts w:ascii="Tahoma" w:eastAsia="Times New Roman" w:hAnsi="Tahoma" w:cs="Tahoma"/>
                <w:b/>
                <w:bCs/>
                <w:color w:val="565656"/>
                <w:sz w:val="16"/>
                <w:szCs w:val="19"/>
                <w:lang w:eastAsia="cs-CZ"/>
              </w:rPr>
            </w:pPr>
            <w:r w:rsidRPr="00F5467B">
              <w:rPr>
                <w:rFonts w:ascii="Tahoma" w:eastAsia="Times New Roman" w:hAnsi="Tahoma" w:cs="Tahoma"/>
                <w:b/>
                <w:bCs/>
                <w:color w:val="565656"/>
                <w:sz w:val="16"/>
                <w:szCs w:val="19"/>
                <w:bdr w:val="none" w:sz="0" w:space="0" w:color="auto" w:frame="1"/>
                <w:lang w:eastAsia="cs-CZ"/>
              </w:rPr>
              <w:t>12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single" w:sz="6" w:space="0" w:color="F2F2F2"/>
            </w:tcBorders>
            <w:shd w:val="clear" w:color="auto" w:fill="F7F7F7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5467B" w:rsidRPr="00F5467B" w:rsidRDefault="00F5467B" w:rsidP="00796D5F">
            <w:pPr>
              <w:spacing w:after="0" w:line="465" w:lineRule="atLeast"/>
              <w:ind w:left="-142"/>
              <w:jc w:val="both"/>
              <w:rPr>
                <w:rFonts w:ascii="Tahoma" w:eastAsia="Times New Roman" w:hAnsi="Tahoma" w:cs="Tahoma"/>
                <w:b/>
                <w:bCs/>
                <w:color w:val="565656"/>
                <w:sz w:val="16"/>
                <w:szCs w:val="19"/>
                <w:lang w:eastAsia="cs-CZ"/>
              </w:rPr>
            </w:pPr>
            <w:r w:rsidRPr="00F5467B">
              <w:rPr>
                <w:rFonts w:ascii="Tahoma" w:eastAsia="Times New Roman" w:hAnsi="Tahoma" w:cs="Tahoma"/>
                <w:b/>
                <w:bCs/>
                <w:color w:val="565656"/>
                <w:sz w:val="16"/>
                <w:szCs w:val="19"/>
                <w:bdr w:val="none" w:sz="0" w:space="0" w:color="auto" w:frame="1"/>
                <w:lang w:eastAsia="cs-CZ"/>
              </w:rPr>
              <w:t>13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single" w:sz="6" w:space="0" w:color="F2F2F2"/>
            </w:tcBorders>
            <w:shd w:val="clear" w:color="auto" w:fill="F7F7F7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5467B" w:rsidRPr="00F5467B" w:rsidRDefault="00F5467B" w:rsidP="00796D5F">
            <w:pPr>
              <w:spacing w:after="0" w:line="465" w:lineRule="atLeast"/>
              <w:ind w:left="-142"/>
              <w:jc w:val="both"/>
              <w:rPr>
                <w:rFonts w:ascii="Tahoma" w:eastAsia="Times New Roman" w:hAnsi="Tahoma" w:cs="Tahoma"/>
                <w:b/>
                <w:bCs/>
                <w:color w:val="565656"/>
                <w:sz w:val="16"/>
                <w:szCs w:val="19"/>
                <w:lang w:eastAsia="cs-CZ"/>
              </w:rPr>
            </w:pPr>
            <w:r w:rsidRPr="00F5467B">
              <w:rPr>
                <w:rFonts w:ascii="Tahoma" w:eastAsia="Times New Roman" w:hAnsi="Tahoma" w:cs="Tahoma"/>
                <w:b/>
                <w:bCs/>
                <w:color w:val="565656"/>
                <w:sz w:val="16"/>
                <w:szCs w:val="19"/>
                <w:bdr w:val="none" w:sz="0" w:space="0" w:color="auto" w:frame="1"/>
                <w:lang w:eastAsia="cs-CZ"/>
              </w:rPr>
              <w:t>14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single" w:sz="6" w:space="0" w:color="F2F2F2"/>
            </w:tcBorders>
            <w:shd w:val="clear" w:color="auto" w:fill="F7F7F7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5467B" w:rsidRPr="00F5467B" w:rsidRDefault="00F5467B" w:rsidP="00796D5F">
            <w:pPr>
              <w:spacing w:after="0" w:line="465" w:lineRule="atLeast"/>
              <w:ind w:left="-142"/>
              <w:jc w:val="both"/>
              <w:rPr>
                <w:rFonts w:ascii="Tahoma" w:eastAsia="Times New Roman" w:hAnsi="Tahoma" w:cs="Tahoma"/>
                <w:b/>
                <w:bCs/>
                <w:color w:val="565656"/>
                <w:sz w:val="16"/>
                <w:szCs w:val="19"/>
                <w:lang w:eastAsia="cs-CZ"/>
              </w:rPr>
            </w:pPr>
            <w:r w:rsidRPr="00F5467B">
              <w:rPr>
                <w:rFonts w:ascii="Tahoma" w:eastAsia="Times New Roman" w:hAnsi="Tahoma" w:cs="Tahoma"/>
                <w:b/>
                <w:bCs/>
                <w:color w:val="565656"/>
                <w:sz w:val="16"/>
                <w:szCs w:val="19"/>
                <w:bdr w:val="none" w:sz="0" w:space="0" w:color="auto" w:frame="1"/>
                <w:lang w:eastAsia="cs-CZ"/>
              </w:rPr>
              <w:t>15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5467B" w:rsidRPr="00F5467B" w:rsidRDefault="005E69A5" w:rsidP="00796D5F">
            <w:pPr>
              <w:spacing w:after="0" w:line="465" w:lineRule="atLeast"/>
              <w:ind w:left="-142"/>
              <w:jc w:val="both"/>
              <w:rPr>
                <w:rFonts w:ascii="Tahoma" w:eastAsia="Times New Roman" w:hAnsi="Tahoma" w:cs="Tahoma"/>
                <w:b/>
                <w:bCs/>
                <w:color w:val="565656"/>
                <w:sz w:val="16"/>
                <w:szCs w:val="19"/>
                <w:lang w:eastAsia="cs-CZ"/>
              </w:rPr>
            </w:pPr>
            <w:r>
              <w:rPr>
                <w:rFonts w:ascii="Tahoma" w:eastAsia="Times New Roman" w:hAnsi="Tahoma" w:cs="Tahoma"/>
                <w:b/>
                <w:bCs/>
                <w:color w:val="565656"/>
                <w:sz w:val="16"/>
                <w:szCs w:val="19"/>
                <w:bdr w:val="none" w:sz="0" w:space="0" w:color="auto" w:frame="1"/>
                <w:lang w:eastAsia="cs-CZ"/>
              </w:rPr>
              <w:t>20</w:t>
            </w:r>
            <w:r w:rsidR="00F5467B" w:rsidRPr="00F5467B">
              <w:rPr>
                <w:rFonts w:ascii="Tahoma" w:eastAsia="Times New Roman" w:hAnsi="Tahoma" w:cs="Tahoma"/>
                <w:b/>
                <w:bCs/>
                <w:color w:val="565656"/>
                <w:sz w:val="16"/>
                <w:szCs w:val="19"/>
                <w:bdr w:val="none" w:sz="0" w:space="0" w:color="auto" w:frame="1"/>
                <w:lang w:eastAsia="cs-CZ"/>
              </w:rPr>
              <w:t>16</w:t>
            </w:r>
          </w:p>
        </w:tc>
      </w:tr>
      <w:tr w:rsidR="00F5467B" w:rsidRPr="00F5467B" w:rsidTr="00F5467B">
        <w:tc>
          <w:tcPr>
            <w:tcW w:w="253" w:type="dxa"/>
            <w:tcBorders>
              <w:top w:val="nil"/>
              <w:left w:val="nil"/>
              <w:bottom w:val="nil"/>
              <w:right w:val="single" w:sz="6" w:space="0" w:color="F2F2F2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5467B" w:rsidRPr="00F5467B" w:rsidRDefault="00F5467B" w:rsidP="00796D5F">
            <w:pPr>
              <w:spacing w:after="0" w:line="255" w:lineRule="atLeast"/>
              <w:ind w:left="-142"/>
              <w:jc w:val="both"/>
              <w:rPr>
                <w:rFonts w:ascii="Tahoma" w:eastAsia="Times New Roman" w:hAnsi="Tahoma" w:cs="Tahoma"/>
                <w:color w:val="565656"/>
                <w:sz w:val="16"/>
                <w:szCs w:val="19"/>
                <w:lang w:eastAsia="cs-CZ"/>
              </w:rPr>
            </w:pPr>
            <w:r w:rsidRPr="00F5467B">
              <w:rPr>
                <w:rFonts w:ascii="Tahoma" w:eastAsia="Times New Roman" w:hAnsi="Tahoma" w:cs="Tahoma"/>
                <w:color w:val="565656"/>
                <w:sz w:val="16"/>
                <w:szCs w:val="19"/>
                <w:lang w:eastAsia="cs-CZ"/>
              </w:rPr>
              <w:t>4,7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6" w:space="0" w:color="F2F2F2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5467B" w:rsidRPr="00F5467B" w:rsidRDefault="00F5467B" w:rsidP="00796D5F">
            <w:pPr>
              <w:spacing w:after="0" w:line="255" w:lineRule="atLeast"/>
              <w:ind w:left="-142"/>
              <w:jc w:val="both"/>
              <w:rPr>
                <w:rFonts w:ascii="Tahoma" w:eastAsia="Times New Roman" w:hAnsi="Tahoma" w:cs="Tahoma"/>
                <w:color w:val="565656"/>
                <w:sz w:val="16"/>
                <w:szCs w:val="19"/>
                <w:lang w:eastAsia="cs-CZ"/>
              </w:rPr>
            </w:pPr>
            <w:r w:rsidRPr="00F5467B">
              <w:rPr>
                <w:rFonts w:ascii="Tahoma" w:eastAsia="Times New Roman" w:hAnsi="Tahoma" w:cs="Tahoma"/>
                <w:color w:val="565656"/>
                <w:sz w:val="16"/>
                <w:szCs w:val="19"/>
                <w:lang w:eastAsia="cs-CZ"/>
              </w:rPr>
              <w:t>1,8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6" w:space="0" w:color="F2F2F2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5467B" w:rsidRPr="00F5467B" w:rsidRDefault="00F5467B" w:rsidP="00796D5F">
            <w:pPr>
              <w:spacing w:after="0" w:line="255" w:lineRule="atLeast"/>
              <w:ind w:left="-142"/>
              <w:jc w:val="both"/>
              <w:rPr>
                <w:rFonts w:ascii="Tahoma" w:eastAsia="Times New Roman" w:hAnsi="Tahoma" w:cs="Tahoma"/>
                <w:color w:val="565656"/>
                <w:sz w:val="16"/>
                <w:szCs w:val="19"/>
                <w:lang w:eastAsia="cs-CZ"/>
              </w:rPr>
            </w:pPr>
            <w:r w:rsidRPr="00F5467B">
              <w:rPr>
                <w:rFonts w:ascii="Tahoma" w:eastAsia="Times New Roman" w:hAnsi="Tahoma" w:cs="Tahoma"/>
                <w:color w:val="565656"/>
                <w:sz w:val="16"/>
                <w:szCs w:val="19"/>
                <w:lang w:eastAsia="cs-CZ"/>
              </w:rPr>
              <w:t>0,1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single" w:sz="6" w:space="0" w:color="F2F2F2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5467B" w:rsidRPr="00F5467B" w:rsidRDefault="00F5467B" w:rsidP="00796D5F">
            <w:pPr>
              <w:spacing w:after="0" w:line="255" w:lineRule="atLeast"/>
              <w:ind w:left="-142"/>
              <w:jc w:val="both"/>
              <w:rPr>
                <w:rFonts w:ascii="Tahoma" w:eastAsia="Times New Roman" w:hAnsi="Tahoma" w:cs="Tahoma"/>
                <w:color w:val="565656"/>
                <w:sz w:val="16"/>
                <w:szCs w:val="19"/>
                <w:lang w:eastAsia="cs-CZ"/>
              </w:rPr>
            </w:pPr>
            <w:r w:rsidRPr="00F5467B">
              <w:rPr>
                <w:rFonts w:ascii="Tahoma" w:eastAsia="Times New Roman" w:hAnsi="Tahoma" w:cs="Tahoma"/>
                <w:color w:val="565656"/>
                <w:sz w:val="16"/>
                <w:szCs w:val="19"/>
                <w:lang w:eastAsia="cs-CZ"/>
              </w:rPr>
              <w:t>2,8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6" w:space="0" w:color="F2F2F2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5467B" w:rsidRPr="00F5467B" w:rsidRDefault="00F5467B" w:rsidP="00796D5F">
            <w:pPr>
              <w:spacing w:after="0" w:line="255" w:lineRule="atLeast"/>
              <w:ind w:left="-142"/>
              <w:jc w:val="both"/>
              <w:rPr>
                <w:rFonts w:ascii="Tahoma" w:eastAsia="Times New Roman" w:hAnsi="Tahoma" w:cs="Tahoma"/>
                <w:color w:val="565656"/>
                <w:sz w:val="16"/>
                <w:szCs w:val="19"/>
                <w:lang w:eastAsia="cs-CZ"/>
              </w:rPr>
            </w:pPr>
            <w:r w:rsidRPr="00F5467B">
              <w:rPr>
                <w:rFonts w:ascii="Tahoma" w:eastAsia="Times New Roman" w:hAnsi="Tahoma" w:cs="Tahoma"/>
                <w:color w:val="565656"/>
                <w:sz w:val="16"/>
                <w:szCs w:val="19"/>
                <w:lang w:eastAsia="cs-CZ"/>
              </w:rPr>
              <w:t>1,9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single" w:sz="6" w:space="0" w:color="F2F2F2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5467B" w:rsidRPr="00F5467B" w:rsidRDefault="00F5467B" w:rsidP="00796D5F">
            <w:pPr>
              <w:spacing w:after="0" w:line="255" w:lineRule="atLeast"/>
              <w:ind w:left="-142"/>
              <w:jc w:val="both"/>
              <w:rPr>
                <w:rFonts w:ascii="Tahoma" w:eastAsia="Times New Roman" w:hAnsi="Tahoma" w:cs="Tahoma"/>
                <w:color w:val="565656"/>
                <w:sz w:val="16"/>
                <w:szCs w:val="19"/>
                <w:lang w:eastAsia="cs-CZ"/>
              </w:rPr>
            </w:pPr>
            <w:r w:rsidRPr="00F5467B">
              <w:rPr>
                <w:rFonts w:ascii="Tahoma" w:eastAsia="Times New Roman" w:hAnsi="Tahoma" w:cs="Tahoma"/>
                <w:color w:val="565656"/>
                <w:sz w:val="16"/>
                <w:szCs w:val="19"/>
                <w:lang w:eastAsia="cs-CZ"/>
              </w:rPr>
              <w:t>2,5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single" w:sz="6" w:space="0" w:color="F2F2F2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5467B" w:rsidRPr="00F5467B" w:rsidRDefault="00F5467B" w:rsidP="00796D5F">
            <w:pPr>
              <w:spacing w:after="0" w:line="255" w:lineRule="atLeast"/>
              <w:ind w:left="-142"/>
              <w:jc w:val="both"/>
              <w:rPr>
                <w:rFonts w:ascii="Tahoma" w:eastAsia="Times New Roman" w:hAnsi="Tahoma" w:cs="Tahoma"/>
                <w:color w:val="565656"/>
                <w:sz w:val="16"/>
                <w:szCs w:val="19"/>
                <w:lang w:eastAsia="cs-CZ"/>
              </w:rPr>
            </w:pPr>
            <w:r w:rsidRPr="00F5467B">
              <w:rPr>
                <w:rFonts w:ascii="Tahoma" w:eastAsia="Times New Roman" w:hAnsi="Tahoma" w:cs="Tahoma"/>
                <w:color w:val="565656"/>
                <w:sz w:val="16"/>
                <w:szCs w:val="19"/>
                <w:lang w:eastAsia="cs-CZ"/>
              </w:rPr>
              <w:t>2,8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single" w:sz="6" w:space="0" w:color="F2F2F2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5467B" w:rsidRPr="00F5467B" w:rsidRDefault="00F5467B" w:rsidP="00796D5F">
            <w:pPr>
              <w:spacing w:after="0" w:line="255" w:lineRule="atLeast"/>
              <w:ind w:left="-142"/>
              <w:jc w:val="both"/>
              <w:rPr>
                <w:rFonts w:ascii="Tahoma" w:eastAsia="Times New Roman" w:hAnsi="Tahoma" w:cs="Tahoma"/>
                <w:color w:val="565656"/>
                <w:sz w:val="16"/>
                <w:szCs w:val="19"/>
                <w:lang w:eastAsia="cs-CZ"/>
              </w:rPr>
            </w:pPr>
            <w:r w:rsidRPr="00F5467B">
              <w:rPr>
                <w:rFonts w:ascii="Tahoma" w:eastAsia="Times New Roman" w:hAnsi="Tahoma" w:cs="Tahoma"/>
                <w:color w:val="565656"/>
                <w:sz w:val="16"/>
                <w:szCs w:val="19"/>
                <w:lang w:eastAsia="cs-CZ"/>
              </w:rPr>
              <w:t>6,3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single" w:sz="6" w:space="0" w:color="F2F2F2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5467B" w:rsidRPr="00F5467B" w:rsidRDefault="00F5467B" w:rsidP="00796D5F">
            <w:pPr>
              <w:spacing w:after="0" w:line="255" w:lineRule="atLeast"/>
              <w:ind w:left="-142"/>
              <w:jc w:val="both"/>
              <w:rPr>
                <w:rFonts w:ascii="Tahoma" w:eastAsia="Times New Roman" w:hAnsi="Tahoma" w:cs="Tahoma"/>
                <w:color w:val="565656"/>
                <w:sz w:val="16"/>
                <w:szCs w:val="19"/>
                <w:lang w:eastAsia="cs-CZ"/>
              </w:rPr>
            </w:pPr>
            <w:r w:rsidRPr="00F5467B">
              <w:rPr>
                <w:rFonts w:ascii="Tahoma" w:eastAsia="Times New Roman" w:hAnsi="Tahoma" w:cs="Tahoma"/>
                <w:color w:val="565656"/>
                <w:sz w:val="16"/>
                <w:szCs w:val="19"/>
                <w:lang w:eastAsia="cs-CZ"/>
              </w:rPr>
              <w:t>1,0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single" w:sz="6" w:space="0" w:color="F2F2F2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5467B" w:rsidRPr="00F5467B" w:rsidRDefault="00F5467B" w:rsidP="00796D5F">
            <w:pPr>
              <w:spacing w:after="0" w:line="255" w:lineRule="atLeast"/>
              <w:ind w:left="-142"/>
              <w:jc w:val="both"/>
              <w:rPr>
                <w:rFonts w:ascii="Tahoma" w:eastAsia="Times New Roman" w:hAnsi="Tahoma" w:cs="Tahoma"/>
                <w:color w:val="565656"/>
                <w:sz w:val="16"/>
                <w:szCs w:val="19"/>
                <w:lang w:eastAsia="cs-CZ"/>
              </w:rPr>
            </w:pPr>
            <w:r w:rsidRPr="00F5467B">
              <w:rPr>
                <w:rFonts w:ascii="Tahoma" w:eastAsia="Times New Roman" w:hAnsi="Tahoma" w:cs="Tahoma"/>
                <w:color w:val="565656"/>
                <w:sz w:val="16"/>
                <w:szCs w:val="19"/>
                <w:lang w:eastAsia="cs-CZ"/>
              </w:rPr>
              <w:t>1,5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single" w:sz="6" w:space="0" w:color="F2F2F2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5467B" w:rsidRPr="00F5467B" w:rsidRDefault="00F5467B" w:rsidP="00796D5F">
            <w:pPr>
              <w:spacing w:after="0" w:line="255" w:lineRule="atLeast"/>
              <w:ind w:left="-142"/>
              <w:jc w:val="both"/>
              <w:rPr>
                <w:rFonts w:ascii="Tahoma" w:eastAsia="Times New Roman" w:hAnsi="Tahoma" w:cs="Tahoma"/>
                <w:color w:val="565656"/>
                <w:sz w:val="16"/>
                <w:szCs w:val="19"/>
                <w:lang w:eastAsia="cs-CZ"/>
              </w:rPr>
            </w:pPr>
            <w:r w:rsidRPr="00F5467B">
              <w:rPr>
                <w:rFonts w:ascii="Tahoma" w:eastAsia="Times New Roman" w:hAnsi="Tahoma" w:cs="Tahoma"/>
                <w:color w:val="565656"/>
                <w:sz w:val="16"/>
                <w:szCs w:val="19"/>
                <w:lang w:eastAsia="cs-CZ"/>
              </w:rPr>
              <w:t>1,9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single" w:sz="6" w:space="0" w:color="F2F2F2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5467B" w:rsidRPr="00F5467B" w:rsidRDefault="00F5467B" w:rsidP="00796D5F">
            <w:pPr>
              <w:spacing w:after="0" w:line="255" w:lineRule="atLeast"/>
              <w:ind w:left="-142"/>
              <w:jc w:val="both"/>
              <w:rPr>
                <w:rFonts w:ascii="Tahoma" w:eastAsia="Times New Roman" w:hAnsi="Tahoma" w:cs="Tahoma"/>
                <w:color w:val="565656"/>
                <w:sz w:val="16"/>
                <w:szCs w:val="19"/>
                <w:lang w:eastAsia="cs-CZ"/>
              </w:rPr>
            </w:pPr>
            <w:r w:rsidRPr="00F5467B">
              <w:rPr>
                <w:rFonts w:ascii="Tahoma" w:eastAsia="Times New Roman" w:hAnsi="Tahoma" w:cs="Tahoma"/>
                <w:color w:val="565656"/>
                <w:sz w:val="16"/>
                <w:szCs w:val="19"/>
                <w:lang w:eastAsia="cs-CZ"/>
              </w:rPr>
              <w:t>3,3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single" w:sz="6" w:space="0" w:color="F2F2F2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5467B" w:rsidRPr="00F5467B" w:rsidRDefault="00F5467B" w:rsidP="00796D5F">
            <w:pPr>
              <w:spacing w:after="0" w:line="255" w:lineRule="atLeast"/>
              <w:ind w:left="-142"/>
              <w:jc w:val="both"/>
              <w:rPr>
                <w:rFonts w:ascii="Tahoma" w:eastAsia="Times New Roman" w:hAnsi="Tahoma" w:cs="Tahoma"/>
                <w:color w:val="565656"/>
                <w:sz w:val="16"/>
                <w:szCs w:val="19"/>
                <w:lang w:eastAsia="cs-CZ"/>
              </w:rPr>
            </w:pPr>
            <w:r w:rsidRPr="00F5467B">
              <w:rPr>
                <w:rFonts w:ascii="Tahoma" w:eastAsia="Times New Roman" w:hAnsi="Tahoma" w:cs="Tahoma"/>
                <w:color w:val="565656"/>
                <w:sz w:val="16"/>
                <w:szCs w:val="19"/>
                <w:lang w:eastAsia="cs-CZ"/>
              </w:rPr>
              <w:t>1,4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6" w:space="0" w:color="F2F2F2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5467B" w:rsidRPr="00F5467B" w:rsidRDefault="00F5467B" w:rsidP="00796D5F">
            <w:pPr>
              <w:spacing w:after="0" w:line="255" w:lineRule="atLeast"/>
              <w:ind w:left="-142"/>
              <w:jc w:val="both"/>
              <w:rPr>
                <w:rFonts w:ascii="Tahoma" w:eastAsia="Times New Roman" w:hAnsi="Tahoma" w:cs="Tahoma"/>
                <w:color w:val="565656"/>
                <w:sz w:val="16"/>
                <w:szCs w:val="19"/>
                <w:lang w:eastAsia="cs-CZ"/>
              </w:rPr>
            </w:pPr>
            <w:r w:rsidRPr="00F5467B">
              <w:rPr>
                <w:rFonts w:ascii="Tahoma" w:eastAsia="Times New Roman" w:hAnsi="Tahoma" w:cs="Tahoma"/>
                <w:color w:val="565656"/>
                <w:sz w:val="16"/>
                <w:szCs w:val="19"/>
                <w:lang w:eastAsia="cs-CZ"/>
              </w:rPr>
              <w:t>0,4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6" w:space="0" w:color="F2F2F2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5467B" w:rsidRPr="00F5467B" w:rsidRDefault="00F5467B" w:rsidP="00796D5F">
            <w:pPr>
              <w:spacing w:after="0" w:line="255" w:lineRule="atLeast"/>
              <w:ind w:left="-142"/>
              <w:jc w:val="both"/>
              <w:rPr>
                <w:rFonts w:ascii="Tahoma" w:eastAsia="Times New Roman" w:hAnsi="Tahoma" w:cs="Tahoma"/>
                <w:color w:val="565656"/>
                <w:sz w:val="16"/>
                <w:szCs w:val="19"/>
                <w:lang w:eastAsia="cs-CZ"/>
              </w:rPr>
            </w:pPr>
            <w:r w:rsidRPr="00F5467B">
              <w:rPr>
                <w:rFonts w:ascii="Tahoma" w:eastAsia="Times New Roman" w:hAnsi="Tahoma" w:cs="Tahoma"/>
                <w:color w:val="565656"/>
                <w:sz w:val="16"/>
                <w:szCs w:val="19"/>
                <w:lang w:eastAsia="cs-CZ"/>
              </w:rPr>
              <w:t>0,3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F5467B" w:rsidRPr="00F5467B" w:rsidRDefault="00F5467B" w:rsidP="00796D5F">
            <w:pPr>
              <w:spacing w:after="0" w:line="255" w:lineRule="atLeast"/>
              <w:ind w:left="-142"/>
              <w:jc w:val="both"/>
              <w:rPr>
                <w:rFonts w:ascii="Tahoma" w:eastAsia="Times New Roman" w:hAnsi="Tahoma" w:cs="Tahoma"/>
                <w:color w:val="565656"/>
                <w:sz w:val="16"/>
                <w:szCs w:val="19"/>
                <w:lang w:eastAsia="cs-CZ"/>
              </w:rPr>
            </w:pPr>
            <w:r w:rsidRPr="00F5467B">
              <w:rPr>
                <w:rFonts w:ascii="Tahoma" w:eastAsia="Times New Roman" w:hAnsi="Tahoma" w:cs="Tahoma"/>
                <w:color w:val="565656"/>
                <w:sz w:val="16"/>
                <w:szCs w:val="19"/>
                <w:lang w:eastAsia="cs-CZ"/>
              </w:rPr>
              <w:t>0,7</w:t>
            </w:r>
          </w:p>
        </w:tc>
      </w:tr>
    </w:tbl>
    <w:p w:rsidR="00F5467B" w:rsidRPr="00F5467B" w:rsidRDefault="00F5467B" w:rsidP="00796D5F">
      <w:pPr>
        <w:pStyle w:val="Odstavecseseznamem"/>
        <w:spacing w:after="0"/>
        <w:ind w:left="-142"/>
        <w:jc w:val="both"/>
        <w:rPr>
          <w:i/>
          <w:sz w:val="16"/>
        </w:rPr>
      </w:pPr>
    </w:p>
    <w:sectPr w:rsidR="00F5467B" w:rsidRPr="00F5467B" w:rsidSect="00796D5F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65B"/>
    <w:rsid w:val="00054169"/>
    <w:rsid w:val="00166893"/>
    <w:rsid w:val="001856DF"/>
    <w:rsid w:val="00503432"/>
    <w:rsid w:val="005170B9"/>
    <w:rsid w:val="005E69A5"/>
    <w:rsid w:val="00795C73"/>
    <w:rsid w:val="00796D5F"/>
    <w:rsid w:val="00797684"/>
    <w:rsid w:val="008B6C66"/>
    <w:rsid w:val="00A53D7A"/>
    <w:rsid w:val="00D151F8"/>
    <w:rsid w:val="00D31560"/>
    <w:rsid w:val="00F5467B"/>
    <w:rsid w:val="00FE5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96D3DD-1157-425C-A84A-34D5D27D7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F546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5467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F5467B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5467B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F54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F5467B"/>
  </w:style>
  <w:style w:type="character" w:styleId="Sledovanodkaz">
    <w:name w:val="FollowedHyperlink"/>
    <w:basedOn w:val="Standardnpsmoodstavce"/>
    <w:uiPriority w:val="99"/>
    <w:semiHidden/>
    <w:unhideWhenUsed/>
    <w:rsid w:val="005E69A5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66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8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84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40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rnikj@senat.cz" TargetMode="External"/><Relationship Id="rId13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mailto:kancelar.slovacko@ivalenta.cz" TargetMode="External"/><Relationship Id="rId12" Type="http://schemas.openxmlformats.org/officeDocument/2006/relationships/hyperlink" Target="https://www.czso.cz/csu/xe/mira-inflace-v-cr-v-lednu-201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arosta@obeckrizanky.cz" TargetMode="External"/><Relationship Id="rId11" Type="http://schemas.openxmlformats.org/officeDocument/2006/relationships/hyperlink" Target="http://www.osa.cz/dolni-menu/ke-sta%C5%BEen%C3%AD/sazebnik-osa.aspx" TargetMode="External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openxmlformats.org/officeDocument/2006/relationships/image" Target="media/image1.jpeg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tanda\Documents\Politika\SMS\V&#253;voj%20sazeb%20OSA%20reprodukovan&#225;%20hudba%202001-2017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tanda\Documents\Politika\SMS\V&#253;voj%20sazeb%20OSA%20reprodukovan&#225;%20hudba%202001-2017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/>
              <a:t>Sazba OSA</a:t>
            </a:r>
            <a:r>
              <a:rPr lang="cs-CZ" baseline="0"/>
              <a:t> za TV přístroj v Kč</a:t>
            </a:r>
            <a:endParaRPr lang="cs-CZ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xVal>
            <c:numRef>
              <c:f>List1!$A$7:$A$15</c:f>
              <c:numCache>
                <c:formatCode>General</c:formatCode>
                <c:ptCount val="9"/>
                <c:pt idx="0">
                  <c:v>2001</c:v>
                </c:pt>
                <c:pt idx="1">
                  <c:v>2004</c:v>
                </c:pt>
                <c:pt idx="2">
                  <c:v>2005</c:v>
                </c:pt>
                <c:pt idx="3">
                  <c:v>2006</c:v>
                </c:pt>
                <c:pt idx="4">
                  <c:v>2008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</c:numCache>
            </c:numRef>
          </c:xVal>
          <c:yVal>
            <c:numRef>
              <c:f>List1!$B$7:$B$15</c:f>
              <c:numCache>
                <c:formatCode>General</c:formatCode>
                <c:ptCount val="9"/>
                <c:pt idx="0">
                  <c:v>90</c:v>
                </c:pt>
                <c:pt idx="1">
                  <c:v>90</c:v>
                </c:pt>
                <c:pt idx="2">
                  <c:v>90</c:v>
                </c:pt>
                <c:pt idx="3">
                  <c:v>130</c:v>
                </c:pt>
                <c:pt idx="4">
                  <c:v>150</c:v>
                </c:pt>
                <c:pt idx="5">
                  <c:v>300</c:v>
                </c:pt>
                <c:pt idx="6">
                  <c:v>300</c:v>
                </c:pt>
                <c:pt idx="7">
                  <c:v>320.69</c:v>
                </c:pt>
                <c:pt idx="8">
                  <c:v>447.36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52198496"/>
        <c:axId val="452198888"/>
      </c:scatterChart>
      <c:valAx>
        <c:axId val="45219849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452198888"/>
        <c:crosses val="autoZero"/>
        <c:crossBetween val="midCat"/>
      </c:valAx>
      <c:valAx>
        <c:axId val="4521988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452198496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/>
              <a:t>Sazba OSA za rádio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xVal>
            <c:numRef>
              <c:f>List1!$I$7:$I$15</c:f>
              <c:numCache>
                <c:formatCode>General</c:formatCode>
                <c:ptCount val="9"/>
                <c:pt idx="0">
                  <c:v>2001</c:v>
                </c:pt>
                <c:pt idx="1">
                  <c:v>2004</c:v>
                </c:pt>
                <c:pt idx="2">
                  <c:v>2005</c:v>
                </c:pt>
                <c:pt idx="3">
                  <c:v>2006</c:v>
                </c:pt>
                <c:pt idx="4">
                  <c:v>2008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</c:numCache>
            </c:numRef>
          </c:xVal>
          <c:yVal>
            <c:numRef>
              <c:f>List1!$J$7:$J$15</c:f>
              <c:numCache>
                <c:formatCode>General</c:formatCode>
                <c:ptCount val="9"/>
                <c:pt idx="0">
                  <c:v>50</c:v>
                </c:pt>
                <c:pt idx="1">
                  <c:v>50</c:v>
                </c:pt>
                <c:pt idx="2">
                  <c:v>50</c:v>
                </c:pt>
                <c:pt idx="3">
                  <c:v>100</c:v>
                </c:pt>
                <c:pt idx="4">
                  <c:v>120</c:v>
                </c:pt>
                <c:pt idx="5">
                  <c:v>125</c:v>
                </c:pt>
                <c:pt idx="6">
                  <c:v>174</c:v>
                </c:pt>
                <c:pt idx="7">
                  <c:v>186</c:v>
                </c:pt>
                <c:pt idx="8">
                  <c:v>279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53696048"/>
        <c:axId val="453694872"/>
      </c:scatterChart>
      <c:valAx>
        <c:axId val="45369604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453694872"/>
        <c:crosses val="autoZero"/>
        <c:crossBetween val="midCat"/>
      </c:valAx>
      <c:valAx>
        <c:axId val="4536948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453696048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1020</Words>
  <Characters>6021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 Polčák</dc:creator>
  <cp:lastModifiedBy>a</cp:lastModifiedBy>
  <cp:revision>2</cp:revision>
  <dcterms:created xsi:type="dcterms:W3CDTF">2017-05-31T09:49:00Z</dcterms:created>
  <dcterms:modified xsi:type="dcterms:W3CDTF">2017-05-31T09:49:00Z</dcterms:modified>
</cp:coreProperties>
</file>