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9D06C4" w:rsidP="000B0282">
      <w:pPr>
        <w:spacing w:line="276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3E100F">
            <w:rPr>
              <w:b/>
              <w:sz w:val="24"/>
            </w:rPr>
            <w:t>U</w:t>
          </w:r>
          <w:r w:rsidR="001E6C5B">
            <w:rPr>
              <w:b/>
              <w:sz w:val="24"/>
            </w:rPr>
            <w:t>zavření smlouvy o návratnou finanční výpomoc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2-25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1E6C5B">
                  <w:t>25.2.2016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3E17B5">
              <w:rPr>
                <w:sz w:val="24"/>
              </w:rPr>
              <w:t>PP08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 xml:space="preserve">Datum </w:t>
            </w:r>
            <w:proofErr w:type="gramStart"/>
            <w:r w:rsidRPr="009C4FD2">
              <w:rPr>
                <w:b/>
                <w:sz w:val="24"/>
                <w:u w:val="single"/>
              </w:rPr>
              <w:t>odeslání</w:t>
            </w:r>
            <w:r w:rsidRPr="001A2495">
              <w:rPr>
                <w:sz w:val="24"/>
              </w:rPr>
              <w:t>:</w:t>
            </w:r>
            <w:sdt>
              <w:sdtPr>
                <w:rPr>
                  <w:sz w:val="24"/>
                </w:rPr>
                <w:id w:val="1724707228"/>
                <w:placeholder>
                  <w:docPart w:val="DefaultPlaceholder_1081868576"/>
                </w:placeholder>
                <w:date w:fullDate="2016-03-03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A2495" w:rsidRPr="001A2495">
                  <w:rPr>
                    <w:sz w:val="24"/>
                  </w:rPr>
                  <w:t>3.3.2016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9D06C4" w:rsidP="00BC49C5">
      <w:pPr>
        <w:spacing w:line="276" w:lineRule="auto"/>
        <w:jc w:val="both"/>
      </w:pPr>
      <w:sdt>
        <w:sdtPr>
          <w:id w:val="-36344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C5B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CE5BF1">
        <w:t xml:space="preserve">nakládání s </w:t>
      </w:r>
      <w:r w:rsidR="001E6C5B">
        <w:t>obecním majetkem, rozpočet obce</w:t>
      </w:r>
    </w:p>
    <w:p w:rsidR="005F38B7" w:rsidRDefault="009D06C4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9D06C4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9D06C4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9D06C4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9D06C4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9D06C4" w:rsidP="000B0282">
      <w:pPr>
        <w:spacing w:line="276" w:lineRule="auto"/>
        <w:jc w:val="both"/>
      </w:pPr>
      <w:sdt>
        <w:sdtPr>
          <w:id w:val="-1713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5B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1E6C5B">
        <w:trPr>
          <w:trHeight w:val="3808"/>
        </w:trPr>
        <w:tc>
          <w:tcPr>
            <w:tcW w:w="9107" w:type="dxa"/>
          </w:tcPr>
          <w:sdt>
            <w:sdtPr>
              <w:id w:val="1875419480"/>
              <w:placeholder>
                <w:docPart w:val="DefaultPlaceholder_1081868574"/>
              </w:placeholder>
            </w:sdtPr>
            <w:sdtEndPr/>
            <w:sdtContent>
              <w:p w:rsidR="001E6C5B" w:rsidRDefault="003E100F" w:rsidP="009F26FD">
                <w:pPr>
                  <w:spacing w:after="0" w:line="240" w:lineRule="auto"/>
                  <w:jc w:val="both"/>
                </w:pPr>
                <w:r>
                  <w:t>Obec</w:t>
                </w:r>
                <w:r w:rsidR="001E6C5B">
                  <w:t xml:space="preserve"> požádala paní trvale bydlící v obci o finanční výpomoc z důvodu nepředvídaných významných výdajů ve výši 10 000 Kč (zemřel jí přítel). </w:t>
                </w:r>
              </w:p>
              <w:p w:rsidR="001E6C5B" w:rsidRDefault="001E6C5B" w:rsidP="009F26FD">
                <w:pPr>
                  <w:spacing w:after="0" w:line="240" w:lineRule="auto"/>
                  <w:jc w:val="both"/>
                </w:pPr>
                <w:r>
                  <w:t>Je možné uzavřít s žadatelkou smlouvu o návratné finanční výpomoci (bezúročné) bez souhlasu obecního zastupitelstva? Pokud ano, prosím o zaslání vzoru tohoto dokumentu.</w:t>
                </w:r>
              </w:p>
            </w:sdtContent>
          </w:sdt>
          <w:p w:rsidR="009C1D00" w:rsidRDefault="001E6C5B" w:rsidP="009F26FD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1A2495" w:rsidRPr="00351B9C" w:rsidRDefault="001A2495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E5BF1" w:rsidRPr="003500CE" w:rsidRDefault="00CE5BF1" w:rsidP="00AD15E4">
      <w:pPr>
        <w:spacing w:line="276" w:lineRule="auto"/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19282D" w:rsidRDefault="0019282D" w:rsidP="0019282D">
                <w:pPr>
                  <w:spacing w:line="276" w:lineRule="auto"/>
                  <w:jc w:val="both"/>
                </w:pPr>
                <w:r>
                  <w:t>Smlouvu je nutné schválit v</w:t>
                </w:r>
                <w:r w:rsidR="00A9047D">
                  <w:t> </w:t>
                </w:r>
                <w:r>
                  <w:t>zast</w:t>
                </w:r>
                <w:r w:rsidR="00A9047D">
                  <w:t xml:space="preserve">upitelstvu - § 85 písm. j) zákona o obcích. Jednoduchý vzor smlouvy zasílám níže. </w:t>
                </w:r>
              </w:p>
              <w:p w:rsidR="0019282D" w:rsidRDefault="00A9047D" w:rsidP="0019282D">
                <w:pPr>
                  <w:pStyle w:val="Normlnweb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>
                  <w:rPr>
                    <w:i/>
                    <w:iCs/>
                  </w:rPr>
                  <w:t>Obec ………………</w:t>
                </w:r>
                <w:proofErr w:type="gramStart"/>
                <w:r>
                  <w:rPr>
                    <w:i/>
                    <w:iCs/>
                  </w:rPr>
                  <w:t>….., IČ</w:t>
                </w:r>
                <w:proofErr w:type="gramEnd"/>
                <w:r>
                  <w:rPr>
                    <w:i/>
                    <w:iCs/>
                  </w:rPr>
                  <w:t>. …………., se sídlem</w:t>
                </w:r>
                <w:r w:rsidR="0019282D">
                  <w:rPr>
                    <w:i/>
                    <w:iCs/>
                  </w:rPr>
                  <w:t>…………………</w:t>
                </w:r>
                <w:r>
                  <w:rPr>
                    <w:i/>
                    <w:iCs/>
                  </w:rPr>
                  <w:t>, zastoupena…………………..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>jako zapůjčitel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>a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>jméno, příjmení, nar. ……………, bytem ……………</w:t>
                </w:r>
                <w:proofErr w:type="gramStart"/>
                <w:r>
                  <w:rPr>
                    <w:i/>
                    <w:iCs/>
                  </w:rPr>
                  <w:t>…..</w:t>
                </w:r>
                <w:proofErr w:type="gramEnd"/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 xml:space="preserve">jako </w:t>
                </w:r>
                <w:proofErr w:type="spellStart"/>
                <w:r>
                  <w:rPr>
                    <w:i/>
                    <w:iCs/>
                  </w:rPr>
                  <w:t>vydlužitel</w:t>
                </w:r>
                <w:proofErr w:type="spellEnd"/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>uzavírají tuto</w:t>
                </w:r>
              </w:p>
              <w:p w:rsidR="0019282D" w:rsidRDefault="0019282D" w:rsidP="0019282D">
                <w:pPr>
                  <w:pStyle w:val="center"/>
                </w:pPr>
                <w:bookmarkStart w:id="1" w:name="highlightHit_22"/>
                <w:bookmarkEnd w:id="1"/>
                <w:r>
                  <w:rPr>
                    <w:rStyle w:val="highlight"/>
                    <w:b/>
                    <w:bCs/>
                    <w:i/>
                    <w:iCs/>
                  </w:rPr>
                  <w:t>SMLOUVU</w:t>
                </w:r>
                <w:r>
                  <w:rPr>
                    <w:b/>
                    <w:bCs/>
                    <w:i/>
                    <w:iCs/>
                  </w:rPr>
                  <w:t xml:space="preserve"> </w:t>
                </w:r>
                <w:bookmarkStart w:id="2" w:name="highlightHit_23"/>
                <w:bookmarkEnd w:id="2"/>
                <w:r>
                  <w:rPr>
                    <w:rStyle w:val="highlight"/>
                    <w:b/>
                    <w:bCs/>
                    <w:i/>
                    <w:iCs/>
                  </w:rPr>
                  <w:t>O</w:t>
                </w:r>
                <w:r>
                  <w:rPr>
                    <w:b/>
                    <w:bCs/>
                    <w:i/>
                    <w:iCs/>
                  </w:rPr>
                  <w:t> </w:t>
                </w:r>
                <w:bookmarkStart w:id="3" w:name="highlightHit_24"/>
                <w:bookmarkEnd w:id="3"/>
                <w:r>
                  <w:rPr>
                    <w:rStyle w:val="highlight"/>
                    <w:b/>
                    <w:bCs/>
                    <w:i/>
                    <w:iCs/>
                  </w:rPr>
                  <w:t>ZÁPŮJČCE</w:t>
                </w:r>
              </w:p>
              <w:p w:rsidR="00A9047D" w:rsidRDefault="0019282D" w:rsidP="00A9047D">
                <w:pPr>
                  <w:pStyle w:val="center"/>
                </w:pPr>
                <w:r>
                  <w:rPr>
                    <w:b/>
                    <w:bCs/>
                    <w:i/>
                    <w:iCs/>
                  </w:rPr>
                  <w:t xml:space="preserve">dle </w:t>
                </w:r>
                <w:hyperlink r:id="rId8" w:history="1">
                  <w:r>
                    <w:rPr>
                      <w:rStyle w:val="Hypertextovodkaz"/>
                      <w:b/>
                      <w:bCs/>
                      <w:i/>
                      <w:iCs/>
                    </w:rPr>
                    <w:t>§ 2390</w:t>
                  </w:r>
                </w:hyperlink>
                <w:r>
                  <w:rPr>
                    <w:b/>
                    <w:bCs/>
                    <w:i/>
                    <w:iCs/>
                  </w:rPr>
                  <w:t xml:space="preserve"> a násl. občanského zákoníku</w:t>
                </w:r>
              </w:p>
              <w:p w:rsidR="0019282D" w:rsidRDefault="0019282D" w:rsidP="00A9047D">
                <w:pPr>
                  <w:pStyle w:val="center"/>
                  <w:jc w:val="center"/>
                </w:pPr>
                <w:r>
                  <w:rPr>
                    <w:i/>
                    <w:iCs/>
                  </w:rPr>
                  <w:t>I.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 xml:space="preserve">Zapůjčitel touto </w:t>
                </w:r>
                <w:bookmarkStart w:id="4" w:name="highlightHit_25"/>
                <w:bookmarkEnd w:id="4"/>
                <w:r>
                  <w:rPr>
                    <w:rStyle w:val="highlight"/>
                    <w:i/>
                    <w:iCs/>
                  </w:rPr>
                  <w:t>smlouvou</w:t>
                </w:r>
                <w:r>
                  <w:rPr>
                    <w:i/>
                    <w:iCs/>
                  </w:rPr>
                  <w:t xml:space="preserve"> přenechává </w:t>
                </w:r>
                <w:proofErr w:type="spellStart"/>
                <w:r>
                  <w:rPr>
                    <w:i/>
                    <w:iCs/>
                  </w:rPr>
                  <w:t>vydlužiteli</w:t>
                </w:r>
                <w:proofErr w:type="spellEnd"/>
                <w:r>
                  <w:rPr>
                    <w:i/>
                    <w:iCs/>
                  </w:rPr>
                  <w:t xml:space="preserve"> </w:t>
                </w:r>
                <w:r w:rsidR="00A9047D">
                  <w:rPr>
                    <w:i/>
                    <w:iCs/>
                  </w:rPr>
                  <w:t>peněžitou částku ve výši …………</w:t>
                </w:r>
                <w:proofErr w:type="gramStart"/>
                <w:r w:rsidR="00A9047D">
                  <w:rPr>
                    <w:i/>
                    <w:iCs/>
                  </w:rPr>
                  <w:t>….</w:t>
                </w:r>
                <w:r>
                  <w:rPr>
                    <w:i/>
                    <w:iCs/>
                  </w:rPr>
                  <w:t>Kč</w:t>
                </w:r>
                <w:proofErr w:type="gramEnd"/>
                <w:r>
                  <w:rPr>
                    <w:i/>
                    <w:iCs/>
                  </w:rPr>
                  <w:t xml:space="preserve">. </w:t>
                </w:r>
                <w:proofErr w:type="spellStart"/>
                <w:r>
                  <w:rPr>
                    <w:i/>
                    <w:iCs/>
                  </w:rPr>
                  <w:t>Vydlužitel</w:t>
                </w:r>
                <w:proofErr w:type="spellEnd"/>
                <w:r>
                  <w:rPr>
                    <w:i/>
                    <w:iCs/>
                  </w:rPr>
                  <w:t xml:space="preserve"> se zavazuje zapůjčenou částku vrátit za podmínek uvedených v čl. III.</w:t>
                </w:r>
              </w:p>
              <w:p w:rsidR="0019282D" w:rsidRDefault="0019282D" w:rsidP="0019282D">
                <w:pPr>
                  <w:pStyle w:val="center"/>
                  <w:jc w:val="center"/>
                </w:pPr>
                <w:r>
                  <w:rPr>
                    <w:i/>
                    <w:iCs/>
                  </w:rPr>
                  <w:t>II.</w:t>
                </w:r>
              </w:p>
              <w:p w:rsidR="0019282D" w:rsidRDefault="0019282D" w:rsidP="0019282D">
                <w:pPr>
                  <w:pStyle w:val="Normlnweb"/>
                </w:pPr>
                <w:proofErr w:type="spellStart"/>
                <w:r>
                  <w:rPr>
                    <w:i/>
                    <w:iCs/>
                  </w:rPr>
                  <w:t>Vydlužitel</w:t>
                </w:r>
                <w:proofErr w:type="spellEnd"/>
                <w:r>
                  <w:rPr>
                    <w:i/>
                    <w:iCs/>
                  </w:rPr>
                  <w:t xml:space="preserve"> prohlašuje, že částka uvedená v čl. I mu byla poskytnuta před uzavřením této </w:t>
                </w:r>
                <w:bookmarkStart w:id="5" w:name="highlightHit_26"/>
                <w:bookmarkEnd w:id="5"/>
                <w:r>
                  <w:rPr>
                    <w:rStyle w:val="highlight"/>
                    <w:i/>
                    <w:iCs/>
                  </w:rPr>
                  <w:t>smlouvy</w:t>
                </w:r>
                <w:r>
                  <w:rPr>
                    <w:i/>
                    <w:iCs/>
                  </w:rPr>
                  <w:t>.</w:t>
                </w:r>
              </w:p>
              <w:p w:rsidR="0019282D" w:rsidRDefault="0019282D" w:rsidP="0019282D">
                <w:pPr>
                  <w:pStyle w:val="center"/>
                  <w:jc w:val="center"/>
                </w:pPr>
                <w:r>
                  <w:rPr>
                    <w:i/>
                    <w:iCs/>
                  </w:rPr>
                  <w:t>III.</w:t>
                </w:r>
              </w:p>
              <w:p w:rsidR="0019282D" w:rsidRDefault="0019282D" w:rsidP="0019282D">
                <w:pPr>
                  <w:pStyle w:val="Normlnweb"/>
                </w:pPr>
                <w:proofErr w:type="spellStart"/>
                <w:r>
                  <w:rPr>
                    <w:i/>
                    <w:iCs/>
                  </w:rPr>
                  <w:t>Vydlužitel</w:t>
                </w:r>
                <w:proofErr w:type="spellEnd"/>
                <w:r>
                  <w:rPr>
                    <w:i/>
                    <w:iCs/>
                  </w:rPr>
                  <w:t xml:space="preserve"> se zavazuje vrátit zapůjčiteli zapůjčenou částku včetně smluvního úr</w:t>
                </w:r>
                <w:r w:rsidR="00A9047D">
                  <w:rPr>
                    <w:i/>
                    <w:iCs/>
                  </w:rPr>
                  <w:t>oku ve výši …………</w:t>
                </w:r>
                <w:proofErr w:type="gramStart"/>
                <w:r w:rsidR="00A9047D">
                  <w:rPr>
                    <w:i/>
                    <w:iCs/>
                  </w:rPr>
                  <w:t>….</w:t>
                </w:r>
                <w:r>
                  <w:rPr>
                    <w:i/>
                    <w:iCs/>
                  </w:rPr>
                  <w:t> Kč</w:t>
                </w:r>
                <w:proofErr w:type="gramEnd"/>
                <w:r>
                  <w:rPr>
                    <w:i/>
                    <w:iCs/>
                  </w:rPr>
                  <w:t xml:space="preserve"> </w:t>
                </w:r>
                <w:r w:rsidR="00A9047D">
                  <w:rPr>
                    <w:i/>
                    <w:iCs/>
                  </w:rPr>
                  <w:t xml:space="preserve">nejpozději </w:t>
                </w:r>
                <w:r>
                  <w:rPr>
                    <w:i/>
                    <w:iCs/>
                  </w:rPr>
                  <w:t>dne ………………...</w:t>
                </w:r>
              </w:p>
              <w:p w:rsidR="0019282D" w:rsidRDefault="0019282D" w:rsidP="0019282D">
                <w:pPr>
                  <w:pStyle w:val="center"/>
                  <w:jc w:val="center"/>
                </w:pPr>
                <w:r>
                  <w:rPr>
                    <w:i/>
                    <w:iCs/>
                  </w:rPr>
                  <w:t>IV.</w:t>
                </w:r>
              </w:p>
              <w:p w:rsidR="0019282D" w:rsidRDefault="0019282D" w:rsidP="0019282D">
                <w:pPr>
                  <w:pStyle w:val="Normlnweb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Smluvní strany se seznámily s obsahem této </w:t>
                </w:r>
                <w:bookmarkStart w:id="6" w:name="highlightHit_27"/>
                <w:bookmarkEnd w:id="6"/>
                <w:r>
                  <w:rPr>
                    <w:rStyle w:val="highlight"/>
                    <w:i/>
                    <w:iCs/>
                  </w:rPr>
                  <w:t>smlouvy</w:t>
                </w:r>
                <w:r>
                  <w:rPr>
                    <w:i/>
                    <w:iCs/>
                  </w:rPr>
                  <w:t xml:space="preserve"> a souhlasí s ním. </w:t>
                </w:r>
                <w:bookmarkStart w:id="7" w:name="highlightHit_28"/>
                <w:bookmarkEnd w:id="7"/>
                <w:r>
                  <w:rPr>
                    <w:rStyle w:val="highlight"/>
                    <w:i/>
                    <w:iCs/>
                  </w:rPr>
                  <w:t>Smlouva</w:t>
                </w:r>
                <w:r>
                  <w:rPr>
                    <w:i/>
                    <w:iCs/>
                  </w:rPr>
                  <w:t xml:space="preserve"> byla sepsána na základě pravé a svobodné vůle jejích stran. Na důkaz toho smluvní strany připojují své podpisy.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>Tato smlouva byla schválena na …… zasedání Zastupitelstva obce ……… dne ……………</w:t>
                </w:r>
              </w:p>
              <w:p w:rsidR="0019282D" w:rsidRDefault="0019282D" w:rsidP="0019282D">
                <w:pPr>
                  <w:pStyle w:val="Normlnweb"/>
                </w:pPr>
                <w:bookmarkStart w:id="8" w:name="highlightHit_29"/>
                <w:bookmarkEnd w:id="8"/>
                <w:r>
                  <w:rPr>
                    <w:rStyle w:val="highlight"/>
                    <w:i/>
                    <w:iCs/>
                  </w:rPr>
                  <w:lastRenderedPageBreak/>
                  <w:t>Smlouva</w:t>
                </w:r>
                <w:r>
                  <w:rPr>
                    <w:i/>
                    <w:iCs/>
                  </w:rPr>
                  <w:t xml:space="preserve"> je vyhotovena ve dvou stejnopisech, z nichž každá ze stran obdrží po jednom. </w:t>
                </w:r>
              </w:p>
              <w:p w:rsidR="0019282D" w:rsidRDefault="0019282D" w:rsidP="0019282D">
                <w:pPr>
                  <w:pStyle w:val="Normlnweb"/>
                </w:pPr>
                <w:r>
                  <w:rPr>
                    <w:i/>
                    <w:iCs/>
                  </w:rPr>
                  <w:t xml:space="preserve">V ……………. </w:t>
                </w:r>
                <w:proofErr w:type="gramStart"/>
                <w:r>
                  <w:rPr>
                    <w:i/>
                    <w:iCs/>
                  </w:rPr>
                  <w:t>dne</w:t>
                </w:r>
                <w:proofErr w:type="gramEnd"/>
                <w:r>
                  <w:rPr>
                    <w:i/>
                    <w:iCs/>
                  </w:rPr>
                  <w:t xml:space="preserve"> ………………</w:t>
                </w:r>
              </w:p>
              <w:p w:rsidR="009C1D00" w:rsidRDefault="009C1D00" w:rsidP="0019282D">
                <w:pPr>
                  <w:spacing w:line="276" w:lineRule="auto"/>
                  <w:jc w:val="both"/>
                </w:pP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A9047D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C4" w:rsidRDefault="009D06C4">
      <w:r>
        <w:separator/>
      </w:r>
    </w:p>
  </w:endnote>
  <w:endnote w:type="continuationSeparator" w:id="0">
    <w:p w:rsidR="009D06C4" w:rsidRDefault="009D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C4" w:rsidRDefault="009D06C4">
      <w:r>
        <w:separator/>
      </w:r>
    </w:p>
  </w:footnote>
  <w:footnote w:type="continuationSeparator" w:id="0">
    <w:p w:rsidR="009D06C4" w:rsidRDefault="009D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04A45"/>
    <w:rsid w:val="00025714"/>
    <w:rsid w:val="00026B48"/>
    <w:rsid w:val="0003431A"/>
    <w:rsid w:val="000528F4"/>
    <w:rsid w:val="00062D5C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4D7A"/>
    <w:rsid w:val="001864BF"/>
    <w:rsid w:val="0019282D"/>
    <w:rsid w:val="00193B1D"/>
    <w:rsid w:val="001A2495"/>
    <w:rsid w:val="001E3631"/>
    <w:rsid w:val="001E6C5B"/>
    <w:rsid w:val="002003F1"/>
    <w:rsid w:val="00203B56"/>
    <w:rsid w:val="00207950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E0EC0"/>
    <w:rsid w:val="003E100F"/>
    <w:rsid w:val="003E17B5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6788"/>
    <w:rsid w:val="00533890"/>
    <w:rsid w:val="00550672"/>
    <w:rsid w:val="00553D0E"/>
    <w:rsid w:val="00554234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A22BD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1FB9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C1D00"/>
    <w:rsid w:val="009D06C4"/>
    <w:rsid w:val="009E00F7"/>
    <w:rsid w:val="009E159F"/>
    <w:rsid w:val="009F26FD"/>
    <w:rsid w:val="009F2D53"/>
    <w:rsid w:val="009F2FEE"/>
    <w:rsid w:val="009F415C"/>
    <w:rsid w:val="00A059C5"/>
    <w:rsid w:val="00A2343C"/>
    <w:rsid w:val="00A44C62"/>
    <w:rsid w:val="00A451AC"/>
    <w:rsid w:val="00A47E26"/>
    <w:rsid w:val="00A5288E"/>
    <w:rsid w:val="00A678A4"/>
    <w:rsid w:val="00A67C0E"/>
    <w:rsid w:val="00A85C37"/>
    <w:rsid w:val="00A9047D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CF06D7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04EB5"/>
    <w:rsid w:val="00E21090"/>
    <w:rsid w:val="00E26E2E"/>
    <w:rsid w:val="00E30D52"/>
    <w:rsid w:val="00E36209"/>
    <w:rsid w:val="00E77731"/>
    <w:rsid w:val="00EB034E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0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3E100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E100F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ezf6obzfzygmmrthey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156B68"/>
    <w:rsid w:val="00181574"/>
    <w:rsid w:val="00300269"/>
    <w:rsid w:val="00910EE5"/>
    <w:rsid w:val="009D3CE0"/>
    <w:rsid w:val="00C265E8"/>
    <w:rsid w:val="00D10635"/>
    <w:rsid w:val="00D763A7"/>
    <w:rsid w:val="00E17E1F"/>
    <w:rsid w:val="00E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B7A6-2A3B-42B7-90DD-5C6D33EF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2016-01-14T14:06:00Z</cp:lastPrinted>
  <dcterms:created xsi:type="dcterms:W3CDTF">2016-06-03T10:36:00Z</dcterms:created>
  <dcterms:modified xsi:type="dcterms:W3CDTF">2016-06-03T10:36:00Z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